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1D" w:rsidRDefault="00B1111D" w:rsidP="00594E2D">
      <w:pPr>
        <w:spacing w:afterLines="50" w:line="560" w:lineRule="exact"/>
        <w:jc w:val="center"/>
        <w:rPr>
          <w:rFonts w:ascii="Times New Roman" w:eastAsia="方正小标宋简体" w:hAnsi="Times New Roman" w:cs="Times New Roman"/>
          <w:b/>
          <w:sz w:val="44"/>
          <w:szCs w:val="44"/>
        </w:rPr>
      </w:pPr>
    </w:p>
    <w:p w:rsidR="00B1111D" w:rsidRDefault="00B1111D" w:rsidP="00594E2D">
      <w:pPr>
        <w:spacing w:afterLines="50" w:line="560" w:lineRule="exact"/>
        <w:jc w:val="center"/>
        <w:rPr>
          <w:rFonts w:ascii="Times New Roman" w:eastAsia="方正小标宋简体" w:hAnsi="Times New Roman" w:cs="Times New Roman"/>
          <w:b/>
          <w:sz w:val="44"/>
          <w:szCs w:val="44"/>
        </w:rPr>
      </w:pPr>
    </w:p>
    <w:p w:rsidR="00B1111D" w:rsidRDefault="00B1111D" w:rsidP="00594E2D">
      <w:pPr>
        <w:spacing w:afterLines="50" w:line="560" w:lineRule="exact"/>
        <w:jc w:val="center"/>
        <w:rPr>
          <w:rFonts w:ascii="Times New Roman" w:eastAsia="方正小标宋简体" w:hAnsi="Times New Roman" w:cs="Times New Roman"/>
          <w:b/>
          <w:sz w:val="52"/>
          <w:szCs w:val="52"/>
        </w:rPr>
      </w:pPr>
    </w:p>
    <w:p w:rsidR="00B1111D" w:rsidRDefault="001C004B" w:rsidP="00594E2D">
      <w:pPr>
        <w:spacing w:afterLines="50" w:line="560" w:lineRule="exact"/>
        <w:jc w:val="center"/>
        <w:outlineLvl w:val="0"/>
        <w:rPr>
          <w:rFonts w:ascii="Times New Roman" w:eastAsia="方正小标宋简体" w:hAnsi="Times New Roman" w:cs="Times New Roman"/>
          <w:b/>
          <w:sz w:val="52"/>
          <w:szCs w:val="52"/>
        </w:rPr>
      </w:pPr>
      <w:bookmarkStart w:id="0" w:name="_Toc18694"/>
      <w:bookmarkStart w:id="1" w:name="_Toc32151"/>
      <w:bookmarkStart w:id="2" w:name="_Toc6451"/>
      <w:r>
        <w:rPr>
          <w:rFonts w:ascii="Times New Roman" w:eastAsia="方正小标宋简体" w:hAnsi="Times New Roman" w:cs="Times New Roman"/>
          <w:b/>
          <w:sz w:val="52"/>
          <w:szCs w:val="52"/>
        </w:rPr>
        <w:t>学位授权点</w:t>
      </w:r>
      <w:r>
        <w:rPr>
          <w:rFonts w:ascii="Times New Roman" w:eastAsia="方正小标宋简体" w:hAnsi="Times New Roman" w:cs="Times New Roman" w:hint="eastAsia"/>
          <w:b/>
          <w:sz w:val="52"/>
          <w:szCs w:val="52"/>
        </w:rPr>
        <w:t>建设年度</w:t>
      </w:r>
      <w:r>
        <w:rPr>
          <w:rFonts w:ascii="Times New Roman" w:eastAsia="方正小标宋简体" w:hAnsi="Times New Roman" w:cs="Times New Roman"/>
          <w:b/>
          <w:sz w:val="52"/>
          <w:szCs w:val="52"/>
        </w:rPr>
        <w:t>报告</w:t>
      </w:r>
      <w:bookmarkEnd w:id="0"/>
      <w:bookmarkEnd w:id="1"/>
      <w:bookmarkEnd w:id="2"/>
    </w:p>
    <w:p w:rsidR="00B1111D" w:rsidRDefault="001C004B" w:rsidP="00594E2D">
      <w:pPr>
        <w:spacing w:afterLines="50" w:line="560" w:lineRule="exact"/>
        <w:jc w:val="center"/>
        <w:rPr>
          <w:rFonts w:ascii="Times New Roman" w:eastAsia="方正小标宋简体" w:hAnsi="Times New Roman" w:cs="Times New Roman"/>
          <w:b/>
          <w:sz w:val="52"/>
          <w:szCs w:val="52"/>
        </w:rPr>
      </w:pPr>
      <w:r>
        <w:rPr>
          <w:rFonts w:ascii="Times New Roman" w:eastAsia="方正小标宋简体" w:hAnsi="Times New Roman" w:cs="Times New Roman" w:hint="eastAsia"/>
          <w:b/>
          <w:sz w:val="52"/>
          <w:szCs w:val="52"/>
        </w:rPr>
        <w:t>（</w:t>
      </w:r>
      <w:r>
        <w:rPr>
          <w:rFonts w:ascii="Times New Roman" w:eastAsia="方正小标宋简体" w:hAnsi="Times New Roman" w:cs="Times New Roman" w:hint="eastAsia"/>
          <w:b/>
          <w:sz w:val="52"/>
          <w:szCs w:val="52"/>
        </w:rPr>
        <w:t>2024</w:t>
      </w:r>
      <w:r>
        <w:rPr>
          <w:rFonts w:ascii="Times New Roman" w:eastAsia="方正小标宋简体" w:hAnsi="Times New Roman" w:cs="Times New Roman" w:hint="eastAsia"/>
          <w:b/>
          <w:sz w:val="52"/>
          <w:szCs w:val="52"/>
        </w:rPr>
        <w:t>年度）</w:t>
      </w:r>
    </w:p>
    <w:p w:rsidR="00B1111D" w:rsidRDefault="00B1111D" w:rsidP="00594E2D">
      <w:pPr>
        <w:spacing w:afterLines="50" w:line="560" w:lineRule="exact"/>
        <w:rPr>
          <w:rFonts w:ascii="Times New Roman" w:eastAsia="方正小标宋简体" w:hAnsi="Times New Roman" w:cs="Times New Roman"/>
          <w:b/>
          <w:sz w:val="44"/>
          <w:szCs w:val="44"/>
        </w:rPr>
      </w:pPr>
    </w:p>
    <w:p w:rsidR="00B1111D" w:rsidRDefault="00B1111D" w:rsidP="00594E2D">
      <w:pPr>
        <w:spacing w:afterLines="50" w:line="560" w:lineRule="exact"/>
        <w:jc w:val="center"/>
        <w:rPr>
          <w:rFonts w:ascii="Times New Roman" w:eastAsia="方正小标宋简体" w:hAnsi="Times New Roman" w:cs="Times New Roman"/>
          <w:b/>
          <w:sz w:val="44"/>
          <w:szCs w:val="44"/>
        </w:rPr>
      </w:pPr>
    </w:p>
    <w:tbl>
      <w:tblPr>
        <w:tblStyle w:val="a9"/>
        <w:tblW w:w="561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2160"/>
        <w:gridCol w:w="3450"/>
      </w:tblGrid>
      <w:tr w:rsidR="00B1111D">
        <w:trPr>
          <w:trHeight w:val="704"/>
        </w:trPr>
        <w:tc>
          <w:tcPr>
            <w:tcW w:w="2160" w:type="dxa"/>
            <w:vMerge w:val="restart"/>
            <w:vAlign w:val="center"/>
          </w:tcPr>
          <w:p w:rsidR="00B1111D" w:rsidRDefault="001C004B">
            <w:pPr>
              <w:spacing w:line="200" w:lineRule="atLeast"/>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学位授予单位</w:t>
            </w:r>
          </w:p>
        </w:tc>
        <w:tc>
          <w:tcPr>
            <w:tcW w:w="3450" w:type="dxa"/>
            <w:tcBorders>
              <w:bottom w:val="single" w:sz="4" w:space="0" w:color="auto"/>
            </w:tcBorders>
            <w:vAlign w:val="center"/>
          </w:tcPr>
          <w:p w:rsidR="00B1111D" w:rsidRDefault="001C004B">
            <w:pPr>
              <w:rPr>
                <w:rFonts w:ascii="Times New Roman" w:eastAsia="楷体_GB2312" w:hAnsi="Times New Roman" w:cs="Times New Roman"/>
                <w:b/>
                <w:sz w:val="30"/>
                <w:szCs w:val="30"/>
              </w:rPr>
            </w:pPr>
            <w:r>
              <w:rPr>
                <w:rFonts w:ascii="Times New Roman" w:eastAsia="楷体_GB2312" w:hAnsi="Times New Roman" w:cs="Times New Roman"/>
                <w:b/>
                <w:sz w:val="30"/>
                <w:szCs w:val="30"/>
              </w:rPr>
              <w:t>名称：</w:t>
            </w:r>
            <w:r>
              <w:rPr>
                <w:rFonts w:ascii="Times New Roman" w:eastAsia="楷体_GB2312" w:hAnsi="Times New Roman" w:cs="Times New Roman" w:hint="eastAsia"/>
                <w:b/>
                <w:sz w:val="30"/>
                <w:szCs w:val="30"/>
              </w:rPr>
              <w:t>大连医科大学</w:t>
            </w:r>
          </w:p>
        </w:tc>
      </w:tr>
      <w:tr w:rsidR="00B1111D">
        <w:trPr>
          <w:trHeight w:val="729"/>
        </w:trPr>
        <w:tc>
          <w:tcPr>
            <w:tcW w:w="2160" w:type="dxa"/>
            <w:vMerge/>
          </w:tcPr>
          <w:p w:rsidR="00B1111D" w:rsidRDefault="00B1111D">
            <w:pPr>
              <w:jc w:val="center"/>
              <w:rPr>
                <w:rFonts w:ascii="Times New Roman" w:eastAsia="楷体_GB2312" w:hAnsi="Times New Roman" w:cs="Times New Roman"/>
                <w:b/>
                <w:sz w:val="30"/>
                <w:szCs w:val="30"/>
              </w:rPr>
            </w:pPr>
          </w:p>
        </w:tc>
        <w:tc>
          <w:tcPr>
            <w:tcW w:w="3450" w:type="dxa"/>
            <w:tcBorders>
              <w:top w:val="single" w:sz="4" w:space="0" w:color="auto"/>
            </w:tcBorders>
            <w:vAlign w:val="center"/>
          </w:tcPr>
          <w:p w:rsidR="00B1111D" w:rsidRDefault="001C004B">
            <w:pPr>
              <w:rPr>
                <w:rFonts w:ascii="Times New Roman" w:eastAsia="楷体_GB2312" w:hAnsi="Times New Roman" w:cs="Times New Roman"/>
                <w:b/>
                <w:sz w:val="30"/>
                <w:szCs w:val="30"/>
              </w:rPr>
            </w:pPr>
            <w:r>
              <w:rPr>
                <w:rFonts w:ascii="Times New Roman" w:eastAsia="楷体_GB2312" w:hAnsi="Times New Roman" w:cs="Times New Roman"/>
                <w:b/>
                <w:sz w:val="30"/>
                <w:szCs w:val="30"/>
              </w:rPr>
              <w:t>代码：</w:t>
            </w:r>
            <w:r>
              <w:rPr>
                <w:rFonts w:ascii="Times New Roman" w:eastAsia="楷体_GB2312" w:hAnsi="Times New Roman" w:cs="Times New Roman" w:hint="eastAsia"/>
                <w:b/>
                <w:sz w:val="30"/>
                <w:szCs w:val="30"/>
              </w:rPr>
              <w:t>10161</w:t>
            </w:r>
          </w:p>
        </w:tc>
      </w:tr>
    </w:tbl>
    <w:p w:rsidR="00B1111D" w:rsidRDefault="00B1111D">
      <w:pPr>
        <w:spacing w:line="720" w:lineRule="auto"/>
        <w:jc w:val="center"/>
        <w:rPr>
          <w:rFonts w:ascii="Times New Roman" w:eastAsia="楷体_GB2312" w:hAnsi="Times New Roman" w:cs="Times New Roman"/>
          <w:b/>
          <w:sz w:val="30"/>
          <w:szCs w:val="30"/>
        </w:rPr>
      </w:pPr>
    </w:p>
    <w:tbl>
      <w:tblPr>
        <w:tblStyle w:val="a9"/>
        <w:tblW w:w="5032"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2160"/>
        <w:gridCol w:w="2872"/>
      </w:tblGrid>
      <w:tr w:rsidR="00B1111D">
        <w:trPr>
          <w:trHeight w:val="854"/>
        </w:trPr>
        <w:tc>
          <w:tcPr>
            <w:tcW w:w="2160" w:type="dxa"/>
            <w:vMerge w:val="restart"/>
            <w:vAlign w:val="center"/>
          </w:tcPr>
          <w:p w:rsidR="00B1111D" w:rsidRDefault="001C004B">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授权学科</w:t>
            </w:r>
          </w:p>
          <w:p w:rsidR="00B1111D" w:rsidRDefault="001C004B">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（类别）</w:t>
            </w:r>
          </w:p>
        </w:tc>
        <w:tc>
          <w:tcPr>
            <w:tcW w:w="2872" w:type="dxa"/>
            <w:tcBorders>
              <w:bottom w:val="single" w:sz="4" w:space="0" w:color="auto"/>
            </w:tcBorders>
            <w:vAlign w:val="center"/>
          </w:tcPr>
          <w:p w:rsidR="00B1111D" w:rsidRDefault="001C004B">
            <w:pPr>
              <w:rPr>
                <w:rFonts w:ascii="Times New Roman" w:eastAsia="楷体_GB2312" w:hAnsi="Times New Roman" w:cs="Times New Roman"/>
                <w:b/>
                <w:sz w:val="30"/>
                <w:szCs w:val="30"/>
              </w:rPr>
            </w:pPr>
            <w:r>
              <w:rPr>
                <w:rFonts w:ascii="Times New Roman" w:eastAsia="楷体_GB2312" w:hAnsi="Times New Roman" w:cs="Times New Roman"/>
                <w:b/>
                <w:sz w:val="30"/>
                <w:szCs w:val="30"/>
              </w:rPr>
              <w:t>名称：</w:t>
            </w:r>
            <w:r>
              <w:rPr>
                <w:rFonts w:ascii="Times New Roman" w:eastAsia="楷体_GB2312" w:hAnsi="Times New Roman" w:cs="Times New Roman" w:hint="eastAsia"/>
                <w:b/>
                <w:sz w:val="30"/>
                <w:szCs w:val="30"/>
              </w:rPr>
              <w:t>临床医学</w:t>
            </w:r>
          </w:p>
        </w:tc>
      </w:tr>
      <w:tr w:rsidR="00B1111D">
        <w:trPr>
          <w:trHeight w:val="739"/>
        </w:trPr>
        <w:tc>
          <w:tcPr>
            <w:tcW w:w="2160" w:type="dxa"/>
            <w:vMerge/>
          </w:tcPr>
          <w:p w:rsidR="00B1111D" w:rsidRDefault="00B1111D">
            <w:pPr>
              <w:jc w:val="center"/>
              <w:rPr>
                <w:rFonts w:ascii="Times New Roman" w:eastAsia="楷体_GB2312" w:hAnsi="Times New Roman" w:cs="Times New Roman"/>
                <w:b/>
                <w:sz w:val="30"/>
                <w:szCs w:val="30"/>
              </w:rPr>
            </w:pPr>
          </w:p>
        </w:tc>
        <w:tc>
          <w:tcPr>
            <w:tcW w:w="2872" w:type="dxa"/>
            <w:tcBorders>
              <w:top w:val="single" w:sz="4" w:space="0" w:color="auto"/>
            </w:tcBorders>
            <w:vAlign w:val="center"/>
          </w:tcPr>
          <w:p w:rsidR="00B1111D" w:rsidRDefault="001C004B">
            <w:pPr>
              <w:rPr>
                <w:rFonts w:ascii="Times New Roman" w:eastAsia="楷体_GB2312" w:hAnsi="Times New Roman" w:cs="Times New Roman"/>
                <w:b/>
                <w:sz w:val="30"/>
                <w:szCs w:val="30"/>
              </w:rPr>
            </w:pPr>
            <w:r>
              <w:rPr>
                <w:rFonts w:ascii="Times New Roman" w:eastAsia="楷体_GB2312" w:hAnsi="Times New Roman" w:cs="Times New Roman"/>
                <w:b/>
                <w:sz w:val="30"/>
                <w:szCs w:val="30"/>
              </w:rPr>
              <w:t>代码：</w:t>
            </w:r>
            <w:r>
              <w:rPr>
                <w:rFonts w:ascii="Times New Roman" w:eastAsia="楷体_GB2312" w:hAnsi="Times New Roman" w:cs="Times New Roman"/>
                <w:b/>
                <w:sz w:val="30"/>
                <w:szCs w:val="30"/>
              </w:rPr>
              <w:t>1002</w:t>
            </w:r>
          </w:p>
        </w:tc>
      </w:tr>
    </w:tbl>
    <w:p w:rsidR="00B1111D" w:rsidRDefault="00B1111D">
      <w:pPr>
        <w:spacing w:line="720" w:lineRule="auto"/>
        <w:jc w:val="center"/>
        <w:rPr>
          <w:rFonts w:ascii="Times New Roman" w:eastAsia="楷体_GB2312" w:hAnsi="Times New Roman" w:cs="Times New Roman"/>
          <w:b/>
          <w:sz w:val="30"/>
          <w:szCs w:val="30"/>
        </w:rPr>
      </w:pPr>
    </w:p>
    <w:tbl>
      <w:tblPr>
        <w:tblStyle w:val="a9"/>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2160"/>
        <w:gridCol w:w="2880"/>
      </w:tblGrid>
      <w:tr w:rsidR="00B1111D">
        <w:trPr>
          <w:trHeight w:val="749"/>
        </w:trPr>
        <w:tc>
          <w:tcPr>
            <w:tcW w:w="2160" w:type="dxa"/>
            <w:vMerge w:val="restart"/>
            <w:vAlign w:val="center"/>
          </w:tcPr>
          <w:p w:rsidR="00B1111D" w:rsidRDefault="001C004B">
            <w:pPr>
              <w:jc w:val="distribute"/>
              <w:rPr>
                <w:rFonts w:ascii="Times New Roman" w:eastAsia="楷体_GB2312" w:hAnsi="Times New Roman" w:cs="Times New Roman"/>
                <w:b/>
                <w:sz w:val="30"/>
                <w:szCs w:val="30"/>
              </w:rPr>
            </w:pPr>
            <w:r>
              <w:rPr>
                <w:rFonts w:ascii="Times New Roman" w:eastAsia="楷体_GB2312" w:hAnsi="Times New Roman" w:cs="Times New Roman"/>
                <w:b/>
                <w:sz w:val="30"/>
                <w:szCs w:val="30"/>
              </w:rPr>
              <w:t>授权级别</w:t>
            </w:r>
          </w:p>
        </w:tc>
        <w:tc>
          <w:tcPr>
            <w:tcW w:w="2880" w:type="dxa"/>
            <w:tcBorders>
              <w:bottom w:val="single" w:sz="4" w:space="0" w:color="auto"/>
            </w:tcBorders>
            <w:vAlign w:val="center"/>
          </w:tcPr>
          <w:p w:rsidR="00B1111D" w:rsidRDefault="001C004B">
            <w:pPr>
              <w:rPr>
                <w:rFonts w:ascii="Times New Roman" w:eastAsia="楷体_GB2312" w:hAnsi="Times New Roman" w:cs="Times New Roman"/>
                <w:b/>
                <w:sz w:val="30"/>
                <w:szCs w:val="30"/>
              </w:rPr>
            </w:pPr>
            <w:r>
              <w:rPr>
                <w:rFonts w:ascii="Times New Roman" w:eastAsia="楷体_GB2312" w:hAnsi="Times New Roman" w:cs="Times New Roman"/>
                <w:b/>
                <w:sz w:val="30"/>
                <w:szCs w:val="30"/>
              </w:rPr>
              <w:sym w:font="Wingdings" w:char="00FE"/>
            </w:r>
            <w:r>
              <w:rPr>
                <w:rFonts w:ascii="Times New Roman" w:eastAsia="楷体_GB2312" w:hAnsi="Times New Roman" w:cs="Times New Roman"/>
                <w:b/>
                <w:sz w:val="30"/>
                <w:szCs w:val="30"/>
              </w:rPr>
              <w:t>博士</w:t>
            </w:r>
          </w:p>
        </w:tc>
      </w:tr>
      <w:tr w:rsidR="00B1111D">
        <w:trPr>
          <w:trHeight w:val="784"/>
        </w:trPr>
        <w:tc>
          <w:tcPr>
            <w:tcW w:w="2160" w:type="dxa"/>
            <w:vMerge/>
          </w:tcPr>
          <w:p w:rsidR="00B1111D" w:rsidRDefault="00B1111D">
            <w:pPr>
              <w:jc w:val="center"/>
              <w:rPr>
                <w:rFonts w:ascii="Times New Roman" w:eastAsia="楷体_GB2312" w:hAnsi="Times New Roman" w:cs="Times New Roman"/>
                <w:b/>
                <w:sz w:val="30"/>
                <w:szCs w:val="30"/>
              </w:rPr>
            </w:pPr>
          </w:p>
        </w:tc>
        <w:tc>
          <w:tcPr>
            <w:tcW w:w="2880" w:type="dxa"/>
            <w:tcBorders>
              <w:top w:val="single" w:sz="4" w:space="0" w:color="auto"/>
            </w:tcBorders>
            <w:vAlign w:val="center"/>
          </w:tcPr>
          <w:p w:rsidR="00B1111D" w:rsidRDefault="001C004B">
            <w:pPr>
              <w:rPr>
                <w:rFonts w:ascii="Times New Roman" w:eastAsia="楷体_GB2312" w:hAnsi="Times New Roman" w:cs="Times New Roman"/>
                <w:b/>
                <w:sz w:val="30"/>
                <w:szCs w:val="30"/>
              </w:rPr>
            </w:pPr>
            <w:r>
              <w:rPr>
                <w:rFonts w:ascii="Times New Roman" w:eastAsia="楷体_GB2312" w:hAnsi="Times New Roman" w:cs="Times New Roman"/>
                <w:b/>
                <w:sz w:val="30"/>
                <w:szCs w:val="30"/>
              </w:rPr>
              <w:sym w:font="Wingdings" w:char="00A8"/>
            </w:r>
            <w:r>
              <w:rPr>
                <w:rFonts w:ascii="Times New Roman" w:eastAsia="楷体_GB2312" w:hAnsi="Times New Roman" w:cs="Times New Roman"/>
                <w:b/>
                <w:sz w:val="30"/>
                <w:szCs w:val="30"/>
              </w:rPr>
              <w:t>硕士</w:t>
            </w:r>
          </w:p>
        </w:tc>
      </w:tr>
    </w:tbl>
    <w:p w:rsidR="00B1111D" w:rsidRDefault="00B1111D">
      <w:pPr>
        <w:rPr>
          <w:rFonts w:ascii="Times New Roman" w:eastAsia="楷体_GB2312" w:hAnsi="Times New Roman" w:cs="Times New Roman"/>
          <w:b/>
          <w:sz w:val="30"/>
          <w:szCs w:val="30"/>
        </w:rPr>
      </w:pPr>
    </w:p>
    <w:p w:rsidR="00B1111D" w:rsidRDefault="00B1111D">
      <w:pPr>
        <w:jc w:val="center"/>
        <w:rPr>
          <w:rFonts w:ascii="Times New Roman" w:eastAsia="楷体_GB2312" w:hAnsi="Times New Roman" w:cs="Times New Roman"/>
          <w:b/>
          <w:sz w:val="30"/>
          <w:szCs w:val="30"/>
        </w:rPr>
      </w:pPr>
    </w:p>
    <w:p w:rsidR="00B1111D" w:rsidRDefault="001C004B">
      <w:pPr>
        <w:spacing w:line="560" w:lineRule="exact"/>
        <w:jc w:val="center"/>
        <w:textAlignment w:val="baseline"/>
        <w:rPr>
          <w:rStyle w:val="NormalCharacter"/>
          <w:rFonts w:ascii="黑体" w:eastAsia="黑体" w:hAnsi="黑体"/>
          <w:szCs w:val="32"/>
        </w:rPr>
        <w:sectPr w:rsidR="00B1111D">
          <w:footerReference w:type="default" r:id="rId14"/>
          <w:pgSz w:w="11906" w:h="16838"/>
          <w:pgMar w:top="1440" w:right="1800" w:bottom="1440" w:left="1800" w:header="851" w:footer="992" w:gutter="0"/>
          <w:pgNumType w:start="1"/>
          <w:cols w:space="425"/>
          <w:docGrid w:type="lines" w:linePitch="312"/>
        </w:sectPr>
      </w:pPr>
      <w:r>
        <w:rPr>
          <w:rFonts w:ascii="Times New Roman" w:eastAsia="楷体_GB2312" w:hAnsi="Times New Roman" w:cs="Times New Roman"/>
          <w:b/>
          <w:sz w:val="30"/>
          <w:szCs w:val="30"/>
        </w:rPr>
        <w:t>20</w:t>
      </w:r>
      <w:r>
        <w:rPr>
          <w:rFonts w:ascii="Times New Roman" w:eastAsia="楷体_GB2312" w:hAnsi="Times New Roman" w:cs="Times New Roman" w:hint="eastAsia"/>
          <w:b/>
          <w:sz w:val="30"/>
          <w:szCs w:val="30"/>
        </w:rPr>
        <w:t>25</w:t>
      </w:r>
      <w:r>
        <w:rPr>
          <w:rFonts w:ascii="Times New Roman" w:eastAsia="楷体_GB2312" w:hAnsi="Times New Roman" w:cs="Times New Roman"/>
          <w:b/>
          <w:sz w:val="30"/>
          <w:szCs w:val="30"/>
        </w:rPr>
        <w:t>年</w:t>
      </w:r>
      <w:r>
        <w:rPr>
          <w:rFonts w:ascii="Times New Roman" w:eastAsia="楷体_GB2312" w:hAnsi="Times New Roman" w:cs="Times New Roman" w:hint="eastAsia"/>
          <w:b/>
          <w:sz w:val="30"/>
          <w:szCs w:val="30"/>
        </w:rPr>
        <w:t>1</w:t>
      </w:r>
      <w:r>
        <w:rPr>
          <w:rFonts w:ascii="Times New Roman" w:eastAsia="楷体_GB2312" w:hAnsi="Times New Roman" w:cs="Times New Roman"/>
          <w:b/>
          <w:sz w:val="30"/>
          <w:szCs w:val="30"/>
        </w:rPr>
        <w:t>月</w:t>
      </w:r>
      <w:r>
        <w:rPr>
          <w:rFonts w:ascii="Times New Roman" w:eastAsia="楷体_GB2312" w:hAnsi="Times New Roman" w:cs="Times New Roman"/>
          <w:b/>
          <w:sz w:val="30"/>
          <w:szCs w:val="30"/>
        </w:rPr>
        <w:t>6</w:t>
      </w:r>
      <w:r>
        <w:rPr>
          <w:rFonts w:ascii="Times New Roman" w:eastAsia="楷体_GB2312" w:hAnsi="Times New Roman" w:cs="Times New Roman"/>
          <w:b/>
          <w:sz w:val="30"/>
          <w:szCs w:val="30"/>
        </w:rPr>
        <w:t>日</w:t>
      </w:r>
    </w:p>
    <w:sdt>
      <w:sdtPr>
        <w:rPr>
          <w:rFonts w:ascii="宋体" w:eastAsia="宋体" w:hAnsi="宋体"/>
          <w:sz w:val="21"/>
        </w:rPr>
        <w:id w:val="147458363"/>
        <w:docPartObj>
          <w:docPartGallery w:val="Table of Contents"/>
          <w:docPartUnique/>
        </w:docPartObj>
      </w:sdtPr>
      <w:sdtEndPr>
        <w:rPr>
          <w:rFonts w:ascii="黑体" w:eastAsia="黑体" w:hAnsi="黑体" w:cs="黑体"/>
          <w:b/>
          <w:bCs/>
          <w:sz w:val="32"/>
          <w:szCs w:val="32"/>
        </w:rPr>
      </w:sdtEndPr>
      <w:sdtContent>
        <w:p w:rsidR="00D607B6" w:rsidRDefault="00D607B6">
          <w:pPr>
            <w:jc w:val="center"/>
          </w:pPr>
          <w:r>
            <w:rPr>
              <w:rFonts w:ascii="宋体" w:eastAsia="宋体" w:hAnsi="宋体"/>
              <w:sz w:val="21"/>
            </w:rPr>
            <w:t>目录</w:t>
          </w:r>
        </w:p>
        <w:p w:rsidR="00D607B6" w:rsidRDefault="00592C03">
          <w:pPr>
            <w:pStyle w:val="WPSOffice1"/>
            <w:tabs>
              <w:tab w:val="right" w:leader="dot" w:pos="8306"/>
            </w:tabs>
            <w:rPr>
              <w:b/>
            </w:rPr>
          </w:pPr>
          <w:r w:rsidRPr="00592C03">
            <w:rPr>
              <w:rStyle w:val="NormalCharacter"/>
              <w:rFonts w:ascii="黑体" w:eastAsia="黑体" w:hAnsi="黑体" w:cs="黑体"/>
              <w:szCs w:val="32"/>
            </w:rPr>
            <w:fldChar w:fldCharType="begin"/>
          </w:r>
          <w:r w:rsidR="00D607B6">
            <w:rPr>
              <w:rStyle w:val="NormalCharacter"/>
              <w:rFonts w:ascii="黑体" w:eastAsia="黑体" w:hAnsi="黑体" w:cs="黑体"/>
              <w:b/>
              <w:bCs/>
              <w:szCs w:val="32"/>
            </w:rPr>
            <w:instrText xml:space="preserve">TOC \o "1-2" \h \u </w:instrText>
          </w:r>
          <w:r w:rsidRPr="00592C03">
            <w:rPr>
              <w:rStyle w:val="NormalCharacter"/>
              <w:rFonts w:ascii="黑体" w:eastAsia="黑体" w:hAnsi="黑体" w:cs="黑体"/>
              <w:szCs w:val="32"/>
            </w:rPr>
            <w:fldChar w:fldCharType="separate"/>
          </w:r>
        </w:p>
        <w:p w:rsidR="00D607B6" w:rsidRDefault="00592C03">
          <w:pPr>
            <w:pStyle w:val="WPSOffice1"/>
            <w:tabs>
              <w:tab w:val="right" w:leader="dot" w:pos="8306"/>
            </w:tabs>
            <w:rPr>
              <w:rFonts w:ascii="黑体" w:eastAsia="黑体" w:hAnsi="黑体" w:cs="黑体"/>
              <w:bCs/>
              <w:sz w:val="34"/>
              <w:szCs w:val="34"/>
            </w:rPr>
          </w:pPr>
          <w:hyperlink w:anchor="_Toc18629" w:history="1">
            <w:r w:rsidR="00D607B6">
              <w:rPr>
                <w:rFonts w:ascii="黑体" w:eastAsia="黑体" w:hAnsi="黑体" w:cs="黑体" w:hint="eastAsia"/>
                <w:bCs/>
                <w:sz w:val="34"/>
                <w:szCs w:val="34"/>
              </w:rPr>
              <w:t>一、总体概况</w:t>
            </w:r>
            <w:r w:rsidR="00D607B6">
              <w:rPr>
                <w:rFonts w:ascii="黑体" w:eastAsia="黑体" w:hAnsi="黑体" w:cs="黑体"/>
                <w:bCs/>
                <w:sz w:val="34"/>
                <w:szCs w:val="34"/>
              </w:rPr>
              <w:tab/>
            </w:r>
            <w:r>
              <w:rPr>
                <w:rFonts w:ascii="黑体" w:eastAsia="黑体" w:hAnsi="黑体" w:cs="黑体"/>
                <w:bCs/>
                <w:sz w:val="34"/>
                <w:szCs w:val="34"/>
              </w:rPr>
              <w:fldChar w:fldCharType="begin"/>
            </w:r>
            <w:r w:rsidR="00D607B6">
              <w:rPr>
                <w:rFonts w:ascii="黑体" w:eastAsia="黑体" w:hAnsi="黑体" w:cs="黑体"/>
                <w:bCs/>
                <w:sz w:val="34"/>
                <w:szCs w:val="34"/>
              </w:rPr>
              <w:instrText xml:space="preserve"> PAGEREF _Toc18629 \h </w:instrText>
            </w:r>
            <w:r>
              <w:rPr>
                <w:rFonts w:ascii="黑体" w:eastAsia="黑体" w:hAnsi="黑体" w:cs="黑体"/>
                <w:bCs/>
                <w:sz w:val="34"/>
                <w:szCs w:val="34"/>
              </w:rPr>
            </w:r>
            <w:r>
              <w:rPr>
                <w:rFonts w:ascii="黑体" w:eastAsia="黑体" w:hAnsi="黑体" w:cs="黑体"/>
                <w:bCs/>
                <w:sz w:val="34"/>
                <w:szCs w:val="34"/>
              </w:rPr>
              <w:fldChar w:fldCharType="separate"/>
            </w:r>
            <w:r w:rsidR="00D607B6">
              <w:rPr>
                <w:rFonts w:ascii="黑体" w:eastAsia="黑体" w:hAnsi="黑体" w:cs="黑体"/>
                <w:bCs/>
                <w:sz w:val="34"/>
                <w:szCs w:val="34"/>
              </w:rPr>
              <w:t>1</w:t>
            </w:r>
            <w:r>
              <w:rPr>
                <w:rFonts w:ascii="黑体" w:eastAsia="黑体" w:hAnsi="黑体" w:cs="黑体"/>
                <w:bCs/>
                <w:sz w:val="34"/>
                <w:szCs w:val="34"/>
              </w:rPr>
              <w:fldChar w:fldCharType="end"/>
            </w:r>
          </w:hyperlink>
        </w:p>
        <w:p w:rsidR="00D607B6" w:rsidRDefault="00592C03">
          <w:pPr>
            <w:pStyle w:val="WPSOffice2"/>
            <w:tabs>
              <w:tab w:val="right" w:leader="dot" w:pos="8306"/>
            </w:tabs>
            <w:ind w:left="640"/>
            <w:rPr>
              <w:rFonts w:ascii="仿宋" w:eastAsia="仿宋" w:hAnsi="仿宋" w:cs="仿宋"/>
              <w:sz w:val="34"/>
              <w:szCs w:val="34"/>
            </w:rPr>
          </w:pPr>
          <w:hyperlink w:anchor="_Toc28573" w:history="1">
            <w:r w:rsidR="00D607B6">
              <w:rPr>
                <w:rFonts w:ascii="仿宋" w:eastAsia="仿宋" w:hAnsi="仿宋" w:cs="仿宋" w:hint="eastAsia"/>
                <w:sz w:val="34"/>
                <w:szCs w:val="34"/>
              </w:rPr>
              <w:t>（一）学位授权点基本情况</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_Toc28573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1</w:t>
            </w:r>
            <w:r>
              <w:rPr>
                <w:rFonts w:ascii="仿宋" w:eastAsia="仿宋" w:hAnsi="仿宋" w:cs="仿宋"/>
                <w:sz w:val="34"/>
                <w:szCs w:val="34"/>
              </w:rPr>
              <w:fldChar w:fldCharType="end"/>
            </w:r>
          </w:hyperlink>
        </w:p>
        <w:p w:rsidR="00D607B6" w:rsidRDefault="00592C03">
          <w:pPr>
            <w:pStyle w:val="WPSOffice2"/>
            <w:tabs>
              <w:tab w:val="right" w:leader="dot" w:pos="8306"/>
            </w:tabs>
            <w:ind w:left="640"/>
            <w:rPr>
              <w:rFonts w:ascii="仿宋" w:eastAsia="仿宋" w:hAnsi="仿宋" w:cs="仿宋"/>
              <w:sz w:val="34"/>
              <w:szCs w:val="34"/>
            </w:rPr>
          </w:pPr>
          <w:hyperlink w:anchor="_Toc27246" w:history="1">
            <w:r w:rsidR="00D607B6">
              <w:rPr>
                <w:rFonts w:ascii="仿宋" w:eastAsia="仿宋" w:hAnsi="仿宋" w:cs="仿宋" w:hint="eastAsia"/>
                <w:sz w:val="34"/>
                <w:szCs w:val="34"/>
              </w:rPr>
              <w:t>（二）学科建设情况</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_Toc27246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1</w:t>
            </w:r>
            <w:r>
              <w:rPr>
                <w:rFonts w:ascii="仿宋" w:eastAsia="仿宋" w:hAnsi="仿宋" w:cs="仿宋"/>
                <w:sz w:val="34"/>
                <w:szCs w:val="34"/>
              </w:rPr>
              <w:fldChar w:fldCharType="end"/>
            </w:r>
          </w:hyperlink>
        </w:p>
        <w:p w:rsidR="00D607B6" w:rsidRDefault="00592C03">
          <w:pPr>
            <w:pStyle w:val="WPSOffice2"/>
            <w:tabs>
              <w:tab w:val="right" w:leader="dot" w:pos="8306"/>
            </w:tabs>
            <w:ind w:left="640"/>
            <w:rPr>
              <w:rFonts w:ascii="仿宋" w:eastAsia="仿宋" w:hAnsi="仿宋" w:cs="仿宋"/>
              <w:sz w:val="34"/>
              <w:szCs w:val="34"/>
            </w:rPr>
          </w:pPr>
          <w:hyperlink w:anchor="_Toc1587" w:history="1">
            <w:r w:rsidR="00D607B6">
              <w:rPr>
                <w:rFonts w:ascii="仿宋" w:eastAsia="仿宋" w:hAnsi="仿宋" w:cs="仿宋" w:hint="eastAsia"/>
                <w:sz w:val="34"/>
                <w:szCs w:val="34"/>
              </w:rPr>
              <w:t>（三）研究生情况</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_Toc1587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2</w:t>
            </w:r>
            <w:r>
              <w:rPr>
                <w:rFonts w:ascii="仿宋" w:eastAsia="仿宋" w:hAnsi="仿宋" w:cs="仿宋"/>
                <w:sz w:val="34"/>
                <w:szCs w:val="34"/>
              </w:rPr>
              <w:fldChar w:fldCharType="end"/>
            </w:r>
          </w:hyperlink>
        </w:p>
        <w:p w:rsidR="00D607B6" w:rsidRDefault="00592C03">
          <w:pPr>
            <w:pStyle w:val="WPSOffice2"/>
            <w:tabs>
              <w:tab w:val="right" w:leader="dot" w:pos="8306"/>
            </w:tabs>
            <w:ind w:left="640"/>
            <w:rPr>
              <w:rFonts w:ascii="仿宋" w:eastAsia="仿宋" w:hAnsi="仿宋" w:cs="仿宋"/>
              <w:sz w:val="34"/>
              <w:szCs w:val="34"/>
            </w:rPr>
          </w:pPr>
          <w:hyperlink w:anchor="_Toc22577" w:history="1">
            <w:r w:rsidR="00D607B6">
              <w:rPr>
                <w:rFonts w:ascii="仿宋" w:eastAsia="仿宋" w:hAnsi="仿宋" w:cs="仿宋" w:hint="eastAsia"/>
                <w:sz w:val="34"/>
                <w:szCs w:val="34"/>
              </w:rPr>
              <w:t>（四）研究生导师状况</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_Toc22577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3</w:t>
            </w:r>
            <w:r>
              <w:rPr>
                <w:rFonts w:ascii="仿宋" w:eastAsia="仿宋" w:hAnsi="仿宋" w:cs="仿宋"/>
                <w:sz w:val="34"/>
                <w:szCs w:val="34"/>
              </w:rPr>
              <w:fldChar w:fldCharType="end"/>
            </w:r>
          </w:hyperlink>
        </w:p>
        <w:p w:rsidR="00D607B6" w:rsidRDefault="00592C03">
          <w:pPr>
            <w:pStyle w:val="WPSOffice1"/>
            <w:tabs>
              <w:tab w:val="right" w:leader="dot" w:pos="8306"/>
            </w:tabs>
            <w:rPr>
              <w:rFonts w:ascii="黑体" w:eastAsia="黑体" w:hAnsi="黑体" w:cs="黑体"/>
              <w:bCs/>
              <w:sz w:val="34"/>
              <w:szCs w:val="34"/>
            </w:rPr>
          </w:pPr>
          <w:hyperlink w:anchor="_Toc27522" w:history="1">
            <w:r w:rsidR="00D607B6">
              <w:rPr>
                <w:rFonts w:ascii="黑体" w:eastAsia="黑体" w:hAnsi="黑体" w:cs="黑体" w:hint="eastAsia"/>
                <w:bCs/>
                <w:sz w:val="34"/>
                <w:szCs w:val="34"/>
              </w:rPr>
              <w:t>二、研究生党建与思想政治教育工作</w:t>
            </w:r>
            <w:r w:rsidR="00D607B6">
              <w:rPr>
                <w:rFonts w:ascii="黑体" w:eastAsia="黑体" w:hAnsi="黑体" w:cs="黑体" w:hint="eastAsia"/>
                <w:bCs/>
                <w:sz w:val="34"/>
                <w:szCs w:val="34"/>
              </w:rPr>
              <w:tab/>
            </w:r>
            <w:r>
              <w:rPr>
                <w:rFonts w:ascii="黑体" w:eastAsia="黑体" w:hAnsi="黑体" w:cs="黑体" w:hint="eastAsia"/>
                <w:bCs/>
                <w:sz w:val="34"/>
                <w:szCs w:val="34"/>
              </w:rPr>
              <w:fldChar w:fldCharType="begin"/>
            </w:r>
            <w:r w:rsidR="00D607B6">
              <w:rPr>
                <w:rFonts w:ascii="黑体" w:eastAsia="黑体" w:hAnsi="黑体" w:cs="黑体" w:hint="eastAsia"/>
                <w:bCs/>
                <w:sz w:val="34"/>
                <w:szCs w:val="34"/>
              </w:rPr>
              <w:instrText xml:space="preserve"> PAGEREF _Toc27522 \h </w:instrText>
            </w:r>
            <w:r>
              <w:rPr>
                <w:rFonts w:ascii="黑体" w:eastAsia="黑体" w:hAnsi="黑体" w:cs="黑体" w:hint="eastAsia"/>
                <w:bCs/>
                <w:sz w:val="34"/>
                <w:szCs w:val="34"/>
              </w:rPr>
            </w:r>
            <w:r>
              <w:rPr>
                <w:rFonts w:ascii="黑体" w:eastAsia="黑体" w:hAnsi="黑体" w:cs="黑体" w:hint="eastAsia"/>
                <w:bCs/>
                <w:sz w:val="34"/>
                <w:szCs w:val="34"/>
              </w:rPr>
              <w:fldChar w:fldCharType="separate"/>
            </w:r>
            <w:r w:rsidR="00D607B6">
              <w:rPr>
                <w:rFonts w:ascii="黑体" w:eastAsia="黑体" w:hAnsi="黑体" w:cs="黑体" w:hint="eastAsia"/>
                <w:bCs/>
                <w:sz w:val="34"/>
                <w:szCs w:val="34"/>
              </w:rPr>
              <w:t>3</w:t>
            </w:r>
            <w:r>
              <w:rPr>
                <w:rFonts w:ascii="黑体" w:eastAsia="黑体" w:hAnsi="黑体" w:cs="黑体" w:hint="eastAsia"/>
                <w:bCs/>
                <w:sz w:val="34"/>
                <w:szCs w:val="34"/>
              </w:rPr>
              <w:fldChar w:fldCharType="end"/>
            </w:r>
          </w:hyperlink>
        </w:p>
        <w:p w:rsidR="00D607B6" w:rsidRDefault="00592C03">
          <w:pPr>
            <w:pStyle w:val="WPSOffice1"/>
            <w:tabs>
              <w:tab w:val="right" w:leader="dot" w:pos="8306"/>
            </w:tabs>
            <w:rPr>
              <w:rFonts w:ascii="黑体" w:eastAsia="黑体" w:hAnsi="黑体" w:cs="黑体"/>
              <w:bCs/>
              <w:sz w:val="34"/>
              <w:szCs w:val="34"/>
            </w:rPr>
          </w:pPr>
          <w:hyperlink w:anchor="_Toc27168" w:history="1">
            <w:r w:rsidR="00D607B6">
              <w:rPr>
                <w:rFonts w:ascii="黑体" w:eastAsia="黑体" w:hAnsi="黑体" w:cs="黑体" w:hint="eastAsia"/>
                <w:bCs/>
                <w:sz w:val="34"/>
                <w:szCs w:val="34"/>
              </w:rPr>
              <w:t>三、研究生培养相关制度及执行情况</w:t>
            </w:r>
            <w:r w:rsidR="00D607B6">
              <w:rPr>
                <w:rFonts w:ascii="黑体" w:eastAsia="黑体" w:hAnsi="黑体" w:cs="黑体" w:hint="eastAsia"/>
                <w:bCs/>
                <w:sz w:val="34"/>
                <w:szCs w:val="34"/>
              </w:rPr>
              <w:tab/>
              <w:t>4</w:t>
            </w:r>
          </w:hyperlink>
        </w:p>
        <w:p w:rsidR="00D607B6" w:rsidRDefault="00592C03">
          <w:pPr>
            <w:pStyle w:val="WPSOffice2"/>
            <w:tabs>
              <w:tab w:val="right" w:leader="dot" w:pos="8306"/>
            </w:tabs>
            <w:ind w:left="640"/>
            <w:rPr>
              <w:rFonts w:ascii="仿宋" w:eastAsia="仿宋" w:hAnsi="仿宋" w:cs="仿宋"/>
              <w:sz w:val="34"/>
              <w:szCs w:val="34"/>
            </w:rPr>
          </w:pPr>
          <w:hyperlink w:anchor="_Toc1861" w:history="1">
            <w:r w:rsidR="00D607B6">
              <w:rPr>
                <w:rFonts w:ascii="仿宋" w:eastAsia="仿宋" w:hAnsi="仿宋" w:cs="仿宋" w:hint="eastAsia"/>
                <w:sz w:val="34"/>
                <w:szCs w:val="34"/>
              </w:rPr>
              <w:t>（一）课程建设与实施情况</w:t>
            </w:r>
            <w:r w:rsidR="00D607B6">
              <w:rPr>
                <w:rFonts w:ascii="仿宋" w:eastAsia="仿宋" w:hAnsi="仿宋" w:cs="仿宋"/>
                <w:sz w:val="34"/>
                <w:szCs w:val="34"/>
              </w:rPr>
              <w:tab/>
            </w:r>
            <w:r w:rsidR="00D607B6">
              <w:rPr>
                <w:rFonts w:ascii="仿宋" w:eastAsia="仿宋" w:hAnsi="仿宋" w:cs="仿宋" w:hint="eastAsia"/>
                <w:sz w:val="34"/>
                <w:szCs w:val="34"/>
              </w:rPr>
              <w:t>4</w:t>
            </w:r>
          </w:hyperlink>
        </w:p>
        <w:p w:rsidR="00D607B6" w:rsidRDefault="00592C03">
          <w:pPr>
            <w:pStyle w:val="WPSOffice2"/>
            <w:tabs>
              <w:tab w:val="right" w:leader="dot" w:pos="8306"/>
            </w:tabs>
            <w:ind w:left="640"/>
            <w:rPr>
              <w:rFonts w:ascii="仿宋" w:eastAsia="仿宋" w:hAnsi="仿宋" w:cs="仿宋"/>
              <w:sz w:val="34"/>
              <w:szCs w:val="34"/>
            </w:rPr>
          </w:pPr>
          <w:hyperlink w:anchor="_Toc23757" w:history="1">
            <w:r w:rsidR="00D607B6">
              <w:rPr>
                <w:rFonts w:ascii="仿宋" w:eastAsia="仿宋" w:hAnsi="仿宋" w:cs="仿宋" w:hint="eastAsia"/>
                <w:sz w:val="34"/>
                <w:szCs w:val="34"/>
              </w:rPr>
              <w:t>（二）导师选拔</w:t>
            </w:r>
            <w:r w:rsidR="00D607B6">
              <w:rPr>
                <w:rFonts w:ascii="仿宋" w:eastAsia="仿宋" w:hAnsi="仿宋" w:cs="仿宋"/>
                <w:sz w:val="34"/>
                <w:szCs w:val="34"/>
              </w:rPr>
              <w:tab/>
            </w:r>
            <w:r w:rsidR="006F6BF8">
              <w:rPr>
                <w:rFonts w:ascii="仿宋" w:eastAsia="仿宋" w:hAnsi="仿宋" w:cs="仿宋" w:hint="eastAsia"/>
                <w:sz w:val="34"/>
                <w:szCs w:val="34"/>
              </w:rPr>
              <w:t>5</w:t>
            </w:r>
          </w:hyperlink>
        </w:p>
        <w:p w:rsidR="00D607B6" w:rsidRDefault="00592C03">
          <w:pPr>
            <w:pStyle w:val="WPSOffice2"/>
            <w:tabs>
              <w:tab w:val="right" w:leader="dot" w:pos="8306"/>
            </w:tabs>
            <w:ind w:left="640"/>
            <w:rPr>
              <w:rFonts w:ascii="仿宋" w:eastAsia="仿宋" w:hAnsi="仿宋" w:cs="仿宋"/>
              <w:sz w:val="34"/>
              <w:szCs w:val="34"/>
            </w:rPr>
          </w:pPr>
          <w:hyperlink w:anchor="_Toc11644" w:history="1">
            <w:r w:rsidR="00D607B6">
              <w:rPr>
                <w:rFonts w:ascii="仿宋" w:eastAsia="仿宋" w:hAnsi="仿宋" w:cs="仿宋" w:hint="eastAsia"/>
                <w:sz w:val="34"/>
                <w:szCs w:val="34"/>
              </w:rPr>
              <w:t>（三）师德师风建设情况</w:t>
            </w:r>
            <w:r w:rsidR="00D607B6">
              <w:rPr>
                <w:rFonts w:ascii="仿宋" w:eastAsia="仿宋" w:hAnsi="仿宋" w:cs="仿宋"/>
                <w:sz w:val="34"/>
                <w:szCs w:val="34"/>
              </w:rPr>
              <w:tab/>
            </w:r>
            <w:r w:rsidR="00D607B6">
              <w:rPr>
                <w:rFonts w:ascii="仿宋" w:eastAsia="仿宋" w:hAnsi="仿宋" w:cs="仿宋" w:hint="eastAsia"/>
                <w:sz w:val="34"/>
                <w:szCs w:val="34"/>
              </w:rPr>
              <w:t>6</w:t>
            </w:r>
          </w:hyperlink>
        </w:p>
        <w:p w:rsidR="00D607B6" w:rsidRDefault="00592C03">
          <w:pPr>
            <w:pStyle w:val="WPSOffice2"/>
            <w:tabs>
              <w:tab w:val="right" w:leader="dot" w:pos="8306"/>
            </w:tabs>
            <w:ind w:left="640"/>
            <w:rPr>
              <w:rFonts w:ascii="仿宋" w:eastAsia="仿宋" w:hAnsi="仿宋" w:cs="仿宋"/>
              <w:sz w:val="34"/>
              <w:szCs w:val="34"/>
            </w:rPr>
          </w:pPr>
          <w:hyperlink w:anchor="_Toc32522" w:history="1">
            <w:r w:rsidR="00D607B6">
              <w:rPr>
                <w:rFonts w:ascii="仿宋" w:eastAsia="仿宋" w:hAnsi="仿宋" w:cs="仿宋" w:hint="eastAsia"/>
                <w:sz w:val="34"/>
                <w:szCs w:val="34"/>
              </w:rPr>
              <w:t>（四）学术训练</w:t>
            </w:r>
            <w:r w:rsidR="00D607B6">
              <w:rPr>
                <w:rFonts w:ascii="仿宋" w:eastAsia="仿宋" w:hAnsi="仿宋" w:cs="仿宋"/>
                <w:sz w:val="34"/>
                <w:szCs w:val="34"/>
              </w:rPr>
              <w:tab/>
            </w:r>
            <w:r w:rsidR="00D607B6">
              <w:rPr>
                <w:rFonts w:ascii="仿宋" w:eastAsia="仿宋" w:hAnsi="仿宋" w:cs="仿宋" w:hint="eastAsia"/>
                <w:sz w:val="34"/>
                <w:szCs w:val="34"/>
              </w:rPr>
              <w:t>8</w:t>
            </w:r>
          </w:hyperlink>
        </w:p>
        <w:p w:rsidR="00D607B6" w:rsidRDefault="00592C03">
          <w:pPr>
            <w:pStyle w:val="WPSOffice2"/>
            <w:tabs>
              <w:tab w:val="right" w:leader="dot" w:pos="8306"/>
            </w:tabs>
            <w:ind w:left="640"/>
            <w:rPr>
              <w:rFonts w:ascii="仿宋" w:eastAsia="仿宋" w:hAnsi="仿宋" w:cs="仿宋"/>
              <w:sz w:val="34"/>
              <w:szCs w:val="34"/>
            </w:rPr>
          </w:pPr>
          <w:hyperlink w:anchor="_Toc20717" w:history="1">
            <w:r w:rsidR="00D607B6">
              <w:rPr>
                <w:rFonts w:ascii="仿宋" w:eastAsia="仿宋" w:hAnsi="仿宋" w:cs="仿宋" w:hint="eastAsia"/>
                <w:sz w:val="34"/>
                <w:szCs w:val="34"/>
              </w:rPr>
              <w:t>（五）学术交流提升科研创新能力</w:t>
            </w:r>
            <w:r w:rsidR="00D607B6">
              <w:rPr>
                <w:rFonts w:ascii="仿宋" w:eastAsia="仿宋" w:hAnsi="仿宋" w:cs="仿宋"/>
                <w:sz w:val="34"/>
                <w:szCs w:val="34"/>
              </w:rPr>
              <w:tab/>
            </w:r>
            <w:r w:rsidR="00D607B6">
              <w:rPr>
                <w:rFonts w:ascii="仿宋" w:eastAsia="仿宋" w:hAnsi="仿宋" w:cs="仿宋" w:hint="eastAsia"/>
                <w:sz w:val="34"/>
                <w:szCs w:val="34"/>
              </w:rPr>
              <w:t>8</w:t>
            </w:r>
          </w:hyperlink>
        </w:p>
        <w:p w:rsidR="00D607B6" w:rsidRDefault="00592C03">
          <w:pPr>
            <w:pStyle w:val="WPSOffice2"/>
            <w:tabs>
              <w:tab w:val="right" w:leader="dot" w:pos="8306"/>
            </w:tabs>
            <w:ind w:left="640"/>
            <w:rPr>
              <w:rFonts w:ascii="仿宋" w:eastAsia="仿宋" w:hAnsi="仿宋" w:cs="仿宋"/>
              <w:sz w:val="34"/>
              <w:szCs w:val="34"/>
            </w:rPr>
          </w:pPr>
          <w:hyperlink w:anchor="_Toc15910" w:history="1">
            <w:r w:rsidR="00D607B6">
              <w:rPr>
                <w:rFonts w:ascii="仿宋" w:eastAsia="仿宋" w:hAnsi="仿宋" w:cs="仿宋" w:hint="eastAsia"/>
                <w:sz w:val="34"/>
                <w:szCs w:val="34"/>
              </w:rPr>
              <w:t>（六）研究生奖助情况</w:t>
            </w:r>
            <w:r w:rsidR="00D607B6">
              <w:rPr>
                <w:rFonts w:ascii="仿宋" w:eastAsia="仿宋" w:hAnsi="仿宋" w:cs="仿宋"/>
                <w:sz w:val="34"/>
                <w:szCs w:val="34"/>
              </w:rPr>
              <w:tab/>
            </w:r>
            <w:r w:rsidR="00D607B6">
              <w:rPr>
                <w:rFonts w:ascii="仿宋" w:eastAsia="仿宋" w:hAnsi="仿宋" w:cs="仿宋" w:hint="eastAsia"/>
                <w:sz w:val="34"/>
                <w:szCs w:val="34"/>
              </w:rPr>
              <w:t>9</w:t>
            </w:r>
          </w:hyperlink>
        </w:p>
        <w:p w:rsidR="00D607B6" w:rsidRDefault="00592C03">
          <w:pPr>
            <w:pStyle w:val="WPSOffice1"/>
            <w:tabs>
              <w:tab w:val="right" w:leader="dot" w:pos="8306"/>
            </w:tabs>
            <w:rPr>
              <w:rFonts w:ascii="黑体" w:eastAsia="黑体" w:hAnsi="黑体" w:cs="黑体"/>
              <w:bCs/>
              <w:sz w:val="34"/>
              <w:szCs w:val="34"/>
            </w:rPr>
          </w:pPr>
          <w:hyperlink w:anchor="_Toc1068" w:history="1">
            <w:r w:rsidR="00D607B6">
              <w:rPr>
                <w:rFonts w:ascii="黑体" w:eastAsia="黑体" w:hAnsi="黑体" w:cs="黑体" w:hint="eastAsia"/>
                <w:bCs/>
                <w:sz w:val="34"/>
                <w:szCs w:val="34"/>
              </w:rPr>
              <w:t>四、研究生教育改革情况</w:t>
            </w:r>
            <w:r w:rsidR="00D607B6">
              <w:rPr>
                <w:rFonts w:ascii="黑体" w:eastAsia="黑体" w:hAnsi="黑体" w:cs="黑体" w:hint="eastAsia"/>
                <w:bCs/>
                <w:sz w:val="34"/>
                <w:szCs w:val="34"/>
              </w:rPr>
              <w:tab/>
            </w:r>
            <w:r>
              <w:rPr>
                <w:rFonts w:ascii="黑体" w:eastAsia="黑体" w:hAnsi="黑体" w:cs="黑体" w:hint="eastAsia"/>
                <w:bCs/>
                <w:sz w:val="34"/>
                <w:szCs w:val="34"/>
              </w:rPr>
              <w:fldChar w:fldCharType="begin"/>
            </w:r>
            <w:r w:rsidR="00D607B6">
              <w:rPr>
                <w:rFonts w:ascii="黑体" w:eastAsia="黑体" w:hAnsi="黑体" w:cs="黑体" w:hint="eastAsia"/>
                <w:bCs/>
                <w:sz w:val="34"/>
                <w:szCs w:val="34"/>
              </w:rPr>
              <w:instrText xml:space="preserve"> PAGEREF _Toc1068 \h </w:instrText>
            </w:r>
            <w:r>
              <w:rPr>
                <w:rFonts w:ascii="黑体" w:eastAsia="黑体" w:hAnsi="黑体" w:cs="黑体" w:hint="eastAsia"/>
                <w:bCs/>
                <w:sz w:val="34"/>
                <w:szCs w:val="34"/>
              </w:rPr>
            </w:r>
            <w:r>
              <w:rPr>
                <w:rFonts w:ascii="黑体" w:eastAsia="黑体" w:hAnsi="黑体" w:cs="黑体" w:hint="eastAsia"/>
                <w:bCs/>
                <w:sz w:val="34"/>
                <w:szCs w:val="34"/>
              </w:rPr>
              <w:fldChar w:fldCharType="separate"/>
            </w:r>
            <w:r w:rsidR="00D607B6">
              <w:rPr>
                <w:rFonts w:ascii="黑体" w:eastAsia="黑体" w:hAnsi="黑体" w:cs="黑体" w:hint="eastAsia"/>
                <w:bCs/>
                <w:sz w:val="34"/>
                <w:szCs w:val="34"/>
              </w:rPr>
              <w:t>10</w:t>
            </w:r>
            <w:r>
              <w:rPr>
                <w:rFonts w:ascii="黑体" w:eastAsia="黑体" w:hAnsi="黑体" w:cs="黑体" w:hint="eastAsia"/>
                <w:bCs/>
                <w:sz w:val="34"/>
                <w:szCs w:val="34"/>
              </w:rPr>
              <w:fldChar w:fldCharType="end"/>
            </w:r>
          </w:hyperlink>
        </w:p>
        <w:p w:rsidR="00D607B6" w:rsidRDefault="00592C03">
          <w:pPr>
            <w:pStyle w:val="WPSOffice1"/>
            <w:tabs>
              <w:tab w:val="right" w:leader="dot" w:pos="8306"/>
            </w:tabs>
            <w:rPr>
              <w:rFonts w:ascii="黑体" w:eastAsia="黑体" w:hAnsi="黑体" w:cs="黑体"/>
              <w:bCs/>
              <w:sz w:val="34"/>
              <w:szCs w:val="34"/>
            </w:rPr>
          </w:pPr>
          <w:hyperlink w:anchor="_Toc10682" w:history="1">
            <w:r w:rsidR="00D607B6">
              <w:rPr>
                <w:rFonts w:ascii="黑体" w:eastAsia="黑体" w:hAnsi="黑体" w:cs="黑体" w:hint="eastAsia"/>
                <w:bCs/>
                <w:sz w:val="34"/>
                <w:szCs w:val="34"/>
              </w:rPr>
              <w:t>五、教育质量评估与分析</w:t>
            </w:r>
            <w:r w:rsidR="00D607B6">
              <w:rPr>
                <w:rFonts w:ascii="黑体" w:eastAsia="黑体" w:hAnsi="黑体" w:cs="黑体" w:hint="eastAsia"/>
                <w:bCs/>
                <w:sz w:val="34"/>
                <w:szCs w:val="34"/>
              </w:rPr>
              <w:tab/>
            </w:r>
            <w:r>
              <w:rPr>
                <w:rFonts w:ascii="黑体" w:eastAsia="黑体" w:hAnsi="黑体" w:cs="黑体" w:hint="eastAsia"/>
                <w:bCs/>
                <w:sz w:val="34"/>
                <w:szCs w:val="34"/>
              </w:rPr>
              <w:fldChar w:fldCharType="begin"/>
            </w:r>
            <w:r w:rsidR="00D607B6">
              <w:rPr>
                <w:rFonts w:ascii="黑体" w:eastAsia="黑体" w:hAnsi="黑体" w:cs="黑体" w:hint="eastAsia"/>
                <w:bCs/>
                <w:sz w:val="34"/>
                <w:szCs w:val="34"/>
              </w:rPr>
              <w:instrText xml:space="preserve"> PAGEREF _Toc10682 \h </w:instrText>
            </w:r>
            <w:r>
              <w:rPr>
                <w:rFonts w:ascii="黑体" w:eastAsia="黑体" w:hAnsi="黑体" w:cs="黑体" w:hint="eastAsia"/>
                <w:bCs/>
                <w:sz w:val="34"/>
                <w:szCs w:val="34"/>
              </w:rPr>
            </w:r>
            <w:r>
              <w:rPr>
                <w:rFonts w:ascii="黑体" w:eastAsia="黑体" w:hAnsi="黑体" w:cs="黑体" w:hint="eastAsia"/>
                <w:bCs/>
                <w:sz w:val="34"/>
                <w:szCs w:val="34"/>
              </w:rPr>
              <w:fldChar w:fldCharType="separate"/>
            </w:r>
            <w:r w:rsidR="00D607B6">
              <w:rPr>
                <w:rFonts w:ascii="黑体" w:eastAsia="黑体" w:hAnsi="黑体" w:cs="黑体" w:hint="eastAsia"/>
                <w:bCs/>
                <w:sz w:val="34"/>
                <w:szCs w:val="34"/>
              </w:rPr>
              <w:t>11</w:t>
            </w:r>
            <w:r>
              <w:rPr>
                <w:rFonts w:ascii="黑体" w:eastAsia="黑体" w:hAnsi="黑体" w:cs="黑体" w:hint="eastAsia"/>
                <w:bCs/>
                <w:sz w:val="34"/>
                <w:szCs w:val="34"/>
              </w:rPr>
              <w:fldChar w:fldCharType="end"/>
            </w:r>
          </w:hyperlink>
        </w:p>
        <w:p w:rsidR="00D607B6" w:rsidRDefault="00592C03">
          <w:pPr>
            <w:pStyle w:val="WPSOffice2"/>
            <w:tabs>
              <w:tab w:val="right" w:leader="dot" w:pos="8306"/>
            </w:tabs>
            <w:ind w:left="640"/>
            <w:rPr>
              <w:rFonts w:ascii="仿宋" w:eastAsia="仿宋" w:hAnsi="仿宋" w:cs="仿宋"/>
              <w:sz w:val="34"/>
              <w:szCs w:val="34"/>
            </w:rPr>
          </w:pPr>
          <w:hyperlink w:anchor="_Toc12323" w:history="1">
            <w:r w:rsidR="00D607B6">
              <w:rPr>
                <w:rFonts w:ascii="仿宋" w:eastAsia="仿宋" w:hAnsi="仿宋" w:cs="仿宋" w:hint="eastAsia"/>
                <w:sz w:val="34"/>
                <w:szCs w:val="34"/>
              </w:rPr>
              <w:t>（一）学科自我评估进展及问题分析</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_Toc12323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1</w:t>
            </w:r>
            <w:r w:rsidR="00D607B6">
              <w:rPr>
                <w:rFonts w:ascii="仿宋" w:eastAsia="仿宋" w:hAnsi="仿宋" w:cs="仿宋" w:hint="eastAsia"/>
                <w:sz w:val="34"/>
                <w:szCs w:val="34"/>
              </w:rPr>
              <w:t>1</w:t>
            </w:r>
            <w:r>
              <w:rPr>
                <w:rFonts w:ascii="仿宋" w:eastAsia="仿宋" w:hAnsi="仿宋" w:cs="仿宋"/>
                <w:sz w:val="34"/>
                <w:szCs w:val="34"/>
              </w:rPr>
              <w:fldChar w:fldCharType="end"/>
            </w:r>
          </w:hyperlink>
        </w:p>
        <w:p w:rsidR="00D607B6" w:rsidRDefault="00592C03">
          <w:pPr>
            <w:pStyle w:val="WPSOffice2"/>
            <w:tabs>
              <w:tab w:val="right" w:leader="dot" w:pos="8306"/>
            </w:tabs>
            <w:ind w:left="640"/>
          </w:pPr>
          <w:hyperlink w:anchor="_Toc24028" w:history="1">
            <w:r w:rsidR="00D607B6">
              <w:rPr>
                <w:rFonts w:ascii="仿宋" w:eastAsia="仿宋" w:hAnsi="仿宋" w:cs="仿宋" w:hint="eastAsia"/>
                <w:sz w:val="34"/>
                <w:szCs w:val="34"/>
              </w:rPr>
              <w:t>（二）学位论文抽检情况及问题分析</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_Toc24028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1</w:t>
            </w:r>
            <w:r w:rsidR="00D607B6">
              <w:rPr>
                <w:rFonts w:ascii="仿宋" w:eastAsia="仿宋" w:hAnsi="仿宋" w:cs="仿宋" w:hint="eastAsia"/>
                <w:sz w:val="34"/>
                <w:szCs w:val="34"/>
              </w:rPr>
              <w:t>1</w:t>
            </w:r>
            <w:r>
              <w:rPr>
                <w:rFonts w:ascii="仿宋" w:eastAsia="仿宋" w:hAnsi="仿宋" w:cs="仿宋"/>
                <w:sz w:val="34"/>
                <w:szCs w:val="34"/>
              </w:rPr>
              <w:fldChar w:fldCharType="end"/>
            </w:r>
          </w:hyperlink>
        </w:p>
        <w:p w:rsidR="00D607B6" w:rsidRDefault="00D607B6">
          <w:pPr>
            <w:pStyle w:val="WPSOffice2"/>
            <w:tabs>
              <w:tab w:val="right" w:leader="dot" w:pos="8306"/>
            </w:tabs>
            <w:ind w:left="640"/>
            <w:rPr>
              <w:rFonts w:ascii="仿宋" w:eastAsia="仿宋" w:hAnsi="仿宋" w:cs="仿宋"/>
              <w:sz w:val="34"/>
              <w:szCs w:val="34"/>
            </w:rPr>
          </w:pPr>
          <w:r w:rsidRPr="00D607B6">
            <w:rPr>
              <w:rFonts w:ascii="仿宋" w:eastAsia="仿宋" w:hAnsi="仿宋" w:cs="仿宋" w:hint="eastAsia"/>
              <w:sz w:val="34"/>
              <w:szCs w:val="34"/>
            </w:rPr>
            <w:t>（三）研究生毕业及学位质量监督体系待完善</w:t>
          </w:r>
          <w:r w:rsidRPr="00D607B6">
            <w:rPr>
              <w:rFonts w:ascii="仿宋" w:eastAsia="仿宋" w:hAnsi="仿宋" w:cs="仿宋"/>
              <w:sz w:val="34"/>
              <w:szCs w:val="34"/>
            </w:rPr>
            <w:tab/>
          </w:r>
          <w:r>
            <w:rPr>
              <w:rFonts w:ascii="仿宋" w:eastAsia="仿宋" w:hAnsi="仿宋" w:cs="仿宋" w:hint="eastAsia"/>
              <w:sz w:val="34"/>
              <w:szCs w:val="34"/>
            </w:rPr>
            <w:t>11</w:t>
          </w:r>
        </w:p>
        <w:p w:rsidR="00D607B6" w:rsidRDefault="00592C03">
          <w:pPr>
            <w:pStyle w:val="WPSOffice1"/>
            <w:tabs>
              <w:tab w:val="right" w:leader="dot" w:pos="8306"/>
            </w:tabs>
            <w:rPr>
              <w:rFonts w:ascii="黑体" w:eastAsia="黑体" w:hAnsi="黑体" w:cs="黑体"/>
              <w:bCs/>
              <w:sz w:val="34"/>
              <w:szCs w:val="34"/>
            </w:rPr>
          </w:pPr>
          <w:hyperlink w:anchor="_Toc24387" w:history="1">
            <w:r w:rsidR="00D607B6">
              <w:rPr>
                <w:rFonts w:ascii="黑体" w:eastAsia="黑体" w:hAnsi="黑体" w:cs="黑体" w:hint="eastAsia"/>
                <w:bCs/>
                <w:sz w:val="34"/>
                <w:szCs w:val="34"/>
              </w:rPr>
              <w:t>六、改进措施</w:t>
            </w:r>
            <w:r w:rsidR="00D607B6">
              <w:rPr>
                <w:rFonts w:ascii="黑体" w:eastAsia="黑体" w:hAnsi="黑体" w:cs="黑体" w:hint="eastAsia"/>
                <w:bCs/>
                <w:sz w:val="34"/>
                <w:szCs w:val="34"/>
              </w:rPr>
              <w:tab/>
            </w:r>
            <w:r>
              <w:rPr>
                <w:rFonts w:ascii="黑体" w:eastAsia="黑体" w:hAnsi="黑体" w:cs="黑体" w:hint="eastAsia"/>
                <w:bCs/>
                <w:sz w:val="34"/>
                <w:szCs w:val="34"/>
              </w:rPr>
              <w:fldChar w:fldCharType="begin"/>
            </w:r>
            <w:r w:rsidR="00D607B6">
              <w:rPr>
                <w:rFonts w:ascii="黑体" w:eastAsia="黑体" w:hAnsi="黑体" w:cs="黑体" w:hint="eastAsia"/>
                <w:bCs/>
                <w:sz w:val="34"/>
                <w:szCs w:val="34"/>
              </w:rPr>
              <w:instrText xml:space="preserve"> PAGEREF _Toc24387 \h </w:instrText>
            </w:r>
            <w:r>
              <w:rPr>
                <w:rFonts w:ascii="黑体" w:eastAsia="黑体" w:hAnsi="黑体" w:cs="黑体" w:hint="eastAsia"/>
                <w:bCs/>
                <w:sz w:val="34"/>
                <w:szCs w:val="34"/>
              </w:rPr>
            </w:r>
            <w:r>
              <w:rPr>
                <w:rFonts w:ascii="黑体" w:eastAsia="黑体" w:hAnsi="黑体" w:cs="黑体" w:hint="eastAsia"/>
                <w:bCs/>
                <w:sz w:val="34"/>
                <w:szCs w:val="34"/>
              </w:rPr>
              <w:fldChar w:fldCharType="separate"/>
            </w:r>
            <w:r w:rsidR="00D607B6">
              <w:rPr>
                <w:rFonts w:ascii="黑体" w:eastAsia="黑体" w:hAnsi="黑体" w:cs="黑体" w:hint="eastAsia"/>
                <w:bCs/>
                <w:sz w:val="34"/>
                <w:szCs w:val="34"/>
              </w:rPr>
              <w:t>12</w:t>
            </w:r>
            <w:r>
              <w:rPr>
                <w:rFonts w:ascii="黑体" w:eastAsia="黑体" w:hAnsi="黑体" w:cs="黑体" w:hint="eastAsia"/>
                <w:bCs/>
                <w:sz w:val="34"/>
                <w:szCs w:val="34"/>
              </w:rPr>
              <w:fldChar w:fldCharType="end"/>
            </w:r>
          </w:hyperlink>
        </w:p>
        <w:p w:rsidR="00D607B6" w:rsidRDefault="00592C03">
          <w:pPr>
            <w:pStyle w:val="WPSOffice2"/>
            <w:tabs>
              <w:tab w:val="right" w:leader="dot" w:pos="8306"/>
            </w:tabs>
            <w:ind w:left="640"/>
            <w:rPr>
              <w:rFonts w:ascii="仿宋" w:eastAsia="仿宋" w:hAnsi="仿宋" w:cs="仿宋"/>
              <w:sz w:val="34"/>
              <w:szCs w:val="34"/>
            </w:rPr>
          </w:pPr>
          <w:hyperlink w:anchor="_Toc4873" w:history="1">
            <w:r w:rsidR="00D607B6">
              <w:rPr>
                <w:rFonts w:ascii="仿宋" w:eastAsia="仿宋" w:hAnsi="仿宋" w:cs="仿宋" w:hint="eastAsia"/>
                <w:sz w:val="34"/>
                <w:szCs w:val="34"/>
              </w:rPr>
              <w:t>(一）不断加强师资队伍建设，提高研究生指导教师水平</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_Toc4873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1</w:t>
            </w:r>
            <w:r w:rsidR="00D607B6">
              <w:rPr>
                <w:rFonts w:ascii="仿宋" w:eastAsia="仿宋" w:hAnsi="仿宋" w:cs="仿宋" w:hint="eastAsia"/>
                <w:sz w:val="34"/>
                <w:szCs w:val="34"/>
              </w:rPr>
              <w:t>2</w:t>
            </w:r>
            <w:r>
              <w:rPr>
                <w:rFonts w:ascii="仿宋" w:eastAsia="仿宋" w:hAnsi="仿宋" w:cs="仿宋"/>
                <w:sz w:val="34"/>
                <w:szCs w:val="34"/>
              </w:rPr>
              <w:fldChar w:fldCharType="end"/>
            </w:r>
          </w:hyperlink>
        </w:p>
        <w:p w:rsidR="00D607B6" w:rsidRDefault="00592C03">
          <w:pPr>
            <w:pStyle w:val="WPSOffice2"/>
            <w:tabs>
              <w:tab w:val="right" w:leader="dot" w:pos="8306"/>
            </w:tabs>
            <w:ind w:left="640"/>
            <w:rPr>
              <w:rFonts w:ascii="仿宋" w:eastAsia="仿宋" w:hAnsi="仿宋" w:cs="仿宋"/>
              <w:sz w:val="34"/>
              <w:szCs w:val="34"/>
            </w:rPr>
          </w:pPr>
          <w:hyperlink w:anchor="_Toc2233" w:history="1">
            <w:r w:rsidR="00D607B6">
              <w:rPr>
                <w:rFonts w:ascii="仿宋" w:eastAsia="仿宋" w:hAnsi="仿宋" w:cs="仿宋" w:hint="eastAsia"/>
                <w:sz w:val="34"/>
                <w:szCs w:val="34"/>
              </w:rPr>
              <w:t>（二）落实“</w:t>
            </w:r>
            <w:r w:rsidR="00D607B6">
              <w:rPr>
                <w:rFonts w:ascii="仿宋" w:eastAsia="仿宋" w:hAnsi="仿宋" w:cs="仿宋"/>
                <w:sz w:val="34"/>
                <w:szCs w:val="34"/>
              </w:rPr>
              <w:t>三全育人</w:t>
            </w:r>
            <w:r w:rsidR="00D607B6">
              <w:rPr>
                <w:rFonts w:ascii="仿宋" w:eastAsia="仿宋" w:hAnsi="仿宋" w:cs="仿宋" w:hint="eastAsia"/>
                <w:sz w:val="34"/>
                <w:szCs w:val="34"/>
              </w:rPr>
              <w:t>”“</w:t>
            </w:r>
            <w:r w:rsidR="00D607B6">
              <w:rPr>
                <w:rFonts w:ascii="仿宋" w:eastAsia="仿宋" w:hAnsi="仿宋" w:cs="仿宋"/>
                <w:sz w:val="34"/>
                <w:szCs w:val="34"/>
              </w:rPr>
              <w:t>立德树人</w:t>
            </w:r>
            <w:r w:rsidR="00D607B6">
              <w:rPr>
                <w:rFonts w:ascii="仿宋" w:eastAsia="仿宋" w:hAnsi="仿宋" w:cs="仿宋" w:hint="eastAsia"/>
                <w:sz w:val="34"/>
                <w:szCs w:val="34"/>
              </w:rPr>
              <w:t>”的根本</w:t>
            </w:r>
            <w:r w:rsidR="00D607B6">
              <w:rPr>
                <w:rFonts w:ascii="仿宋" w:eastAsia="仿宋" w:hAnsi="仿宋" w:cs="仿宋"/>
                <w:sz w:val="34"/>
                <w:szCs w:val="34"/>
              </w:rPr>
              <w:t>任务</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_Toc2233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1</w:t>
            </w:r>
            <w:r w:rsidR="00D607B6">
              <w:rPr>
                <w:rFonts w:ascii="仿宋" w:eastAsia="仿宋" w:hAnsi="仿宋" w:cs="仿宋" w:hint="eastAsia"/>
                <w:sz w:val="34"/>
                <w:szCs w:val="34"/>
              </w:rPr>
              <w:t>2</w:t>
            </w:r>
            <w:r>
              <w:rPr>
                <w:rFonts w:ascii="仿宋" w:eastAsia="仿宋" w:hAnsi="仿宋" w:cs="仿宋"/>
                <w:sz w:val="34"/>
                <w:szCs w:val="34"/>
              </w:rPr>
              <w:fldChar w:fldCharType="end"/>
            </w:r>
          </w:hyperlink>
        </w:p>
        <w:p w:rsidR="00D607B6" w:rsidRDefault="00592C03">
          <w:pPr>
            <w:pStyle w:val="WPSOffice2"/>
            <w:tabs>
              <w:tab w:val="right" w:leader="dot" w:pos="8306"/>
            </w:tabs>
            <w:ind w:left="640"/>
            <w:rPr>
              <w:rFonts w:ascii="仿宋" w:eastAsia="仿宋" w:hAnsi="仿宋" w:cs="仿宋"/>
              <w:sz w:val="34"/>
              <w:szCs w:val="34"/>
            </w:rPr>
          </w:pPr>
          <w:hyperlink w:anchor="_Toc2510" w:history="1">
            <w:r w:rsidR="00D607B6">
              <w:rPr>
                <w:rFonts w:ascii="仿宋" w:eastAsia="仿宋" w:hAnsi="仿宋" w:cs="仿宋" w:hint="eastAsia"/>
                <w:sz w:val="34"/>
                <w:szCs w:val="34"/>
              </w:rPr>
              <w:t>（三）进一步加强研究生培养体系建设，细化培养目标及培养方案</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_Toc2510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1</w:t>
            </w:r>
            <w:r w:rsidR="00D607B6">
              <w:rPr>
                <w:rFonts w:ascii="仿宋" w:eastAsia="仿宋" w:hAnsi="仿宋" w:cs="仿宋" w:hint="eastAsia"/>
                <w:sz w:val="34"/>
                <w:szCs w:val="34"/>
              </w:rPr>
              <w:t>3</w:t>
            </w:r>
            <w:r>
              <w:rPr>
                <w:rFonts w:ascii="仿宋" w:eastAsia="仿宋" w:hAnsi="仿宋" w:cs="仿宋"/>
                <w:sz w:val="34"/>
                <w:szCs w:val="34"/>
              </w:rPr>
              <w:fldChar w:fldCharType="end"/>
            </w:r>
          </w:hyperlink>
        </w:p>
        <w:p w:rsidR="00D607B6" w:rsidRDefault="00592C03">
          <w:pPr>
            <w:pStyle w:val="WPSOffice2"/>
            <w:tabs>
              <w:tab w:val="right" w:leader="dot" w:pos="8306"/>
            </w:tabs>
            <w:ind w:left="640"/>
            <w:rPr>
              <w:rFonts w:ascii="仿宋" w:eastAsia="仿宋" w:hAnsi="仿宋" w:cs="仿宋"/>
              <w:sz w:val="34"/>
              <w:szCs w:val="34"/>
            </w:rPr>
          </w:pPr>
          <w:hyperlink w:anchor="_Toc24720" w:history="1">
            <w:r w:rsidR="00D607B6">
              <w:rPr>
                <w:rFonts w:ascii="仿宋" w:eastAsia="仿宋" w:hAnsi="仿宋" w:cs="仿宋" w:hint="eastAsia"/>
                <w:sz w:val="34"/>
                <w:szCs w:val="34"/>
              </w:rPr>
              <w:t>（四）持续推进研究生学位论文质量提升计划，多措并举提升研究生培养质量</w:t>
            </w:r>
            <w:r w:rsidR="00D607B6">
              <w:rPr>
                <w:rFonts w:ascii="仿宋" w:eastAsia="仿宋" w:hAnsi="仿宋" w:cs="仿宋"/>
                <w:sz w:val="34"/>
                <w:szCs w:val="34"/>
              </w:rPr>
              <w:tab/>
            </w:r>
            <w:r>
              <w:rPr>
                <w:rFonts w:ascii="仿宋" w:eastAsia="仿宋" w:hAnsi="仿宋" w:cs="仿宋"/>
                <w:sz w:val="34"/>
                <w:szCs w:val="34"/>
              </w:rPr>
              <w:fldChar w:fldCharType="begin"/>
            </w:r>
            <w:r w:rsidR="00D607B6">
              <w:rPr>
                <w:rFonts w:ascii="仿宋" w:eastAsia="仿宋" w:hAnsi="仿宋" w:cs="仿宋"/>
                <w:sz w:val="34"/>
                <w:szCs w:val="34"/>
              </w:rPr>
              <w:instrText xml:space="preserve"> PAGEREF _Toc24720 \h </w:instrText>
            </w:r>
            <w:r>
              <w:rPr>
                <w:rFonts w:ascii="仿宋" w:eastAsia="仿宋" w:hAnsi="仿宋" w:cs="仿宋"/>
                <w:sz w:val="34"/>
                <w:szCs w:val="34"/>
              </w:rPr>
            </w:r>
            <w:r>
              <w:rPr>
                <w:rFonts w:ascii="仿宋" w:eastAsia="仿宋" w:hAnsi="仿宋" w:cs="仿宋"/>
                <w:sz w:val="34"/>
                <w:szCs w:val="34"/>
              </w:rPr>
              <w:fldChar w:fldCharType="separate"/>
            </w:r>
            <w:r w:rsidR="00D607B6">
              <w:rPr>
                <w:rFonts w:ascii="仿宋" w:eastAsia="仿宋" w:hAnsi="仿宋" w:cs="仿宋"/>
                <w:sz w:val="34"/>
                <w:szCs w:val="34"/>
              </w:rPr>
              <w:t>1</w:t>
            </w:r>
            <w:r w:rsidR="00D607B6">
              <w:rPr>
                <w:rFonts w:ascii="仿宋" w:eastAsia="仿宋" w:hAnsi="仿宋" w:cs="仿宋" w:hint="eastAsia"/>
                <w:sz w:val="34"/>
                <w:szCs w:val="34"/>
              </w:rPr>
              <w:t>3</w:t>
            </w:r>
            <w:r>
              <w:rPr>
                <w:rFonts w:ascii="仿宋" w:eastAsia="仿宋" w:hAnsi="仿宋" w:cs="仿宋"/>
                <w:sz w:val="34"/>
                <w:szCs w:val="34"/>
              </w:rPr>
              <w:fldChar w:fldCharType="end"/>
            </w:r>
          </w:hyperlink>
        </w:p>
        <w:p w:rsidR="00B1111D" w:rsidRDefault="00592C03">
          <w:pPr>
            <w:widowControl/>
            <w:spacing w:line="600" w:lineRule="exact"/>
            <w:ind w:firstLineChars="200" w:firstLine="643"/>
            <w:textAlignment w:val="baseline"/>
            <w:rPr>
              <w:rStyle w:val="NormalCharacter"/>
              <w:rFonts w:ascii="黑体" w:eastAsia="黑体" w:hAnsi="黑体" w:cs="黑体"/>
              <w:b/>
              <w:bCs/>
              <w:szCs w:val="32"/>
            </w:rPr>
          </w:pPr>
          <w:r>
            <w:rPr>
              <w:rFonts w:ascii="黑体" w:eastAsia="黑体" w:hAnsi="黑体" w:cs="黑体"/>
              <w:b/>
              <w:bCs/>
              <w:szCs w:val="32"/>
            </w:rPr>
            <w:fldChar w:fldCharType="end"/>
          </w:r>
        </w:p>
      </w:sdtContent>
    </w:sdt>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pPr>
    </w:p>
    <w:p w:rsidR="00B1111D" w:rsidRDefault="00B1111D">
      <w:pPr>
        <w:widowControl/>
        <w:spacing w:line="600" w:lineRule="exact"/>
        <w:ind w:firstLineChars="200" w:firstLine="643"/>
        <w:textAlignment w:val="baseline"/>
        <w:rPr>
          <w:rStyle w:val="NormalCharacter"/>
          <w:rFonts w:ascii="黑体" w:eastAsia="黑体" w:hAnsi="黑体" w:cs="黑体"/>
          <w:b/>
          <w:bCs/>
          <w:szCs w:val="32"/>
        </w:rPr>
        <w:sectPr w:rsidR="00B1111D">
          <w:footerReference w:type="default" r:id="rId15"/>
          <w:pgSz w:w="11906" w:h="16838"/>
          <w:pgMar w:top="1440" w:right="1800" w:bottom="1440" w:left="1800" w:header="851" w:footer="992" w:gutter="0"/>
          <w:pgNumType w:start="1"/>
          <w:cols w:space="425"/>
          <w:docGrid w:type="lines" w:linePitch="312"/>
        </w:sectPr>
      </w:pPr>
    </w:p>
    <w:p w:rsidR="00B1111D" w:rsidRDefault="001C004B">
      <w:pPr>
        <w:widowControl/>
        <w:spacing w:line="600" w:lineRule="exact"/>
        <w:ind w:firstLineChars="200" w:firstLine="640"/>
        <w:textAlignment w:val="baseline"/>
        <w:outlineLvl w:val="0"/>
        <w:rPr>
          <w:rStyle w:val="NormalCharacter"/>
          <w:rFonts w:ascii="黑体" w:eastAsia="黑体" w:hAnsi="黑体" w:cs="黑体"/>
          <w:szCs w:val="32"/>
        </w:rPr>
      </w:pPr>
      <w:bookmarkStart w:id="3" w:name="_Toc18629"/>
      <w:r>
        <w:rPr>
          <w:rStyle w:val="NormalCharacter"/>
          <w:rFonts w:ascii="黑体" w:eastAsia="黑体" w:hAnsi="黑体" w:cs="黑体" w:hint="eastAsia"/>
          <w:szCs w:val="32"/>
        </w:rPr>
        <w:lastRenderedPageBreak/>
        <w:t>一、</w:t>
      </w:r>
      <w:r>
        <w:rPr>
          <w:rFonts w:ascii="黑体" w:eastAsia="黑体" w:hAnsi="黑体" w:cs="黑体" w:hint="eastAsia"/>
          <w:szCs w:val="32"/>
        </w:rPr>
        <w:t>总体概况</w:t>
      </w:r>
      <w:bookmarkEnd w:id="3"/>
    </w:p>
    <w:p w:rsidR="00B1111D" w:rsidRDefault="001C004B">
      <w:pPr>
        <w:pStyle w:val="2"/>
        <w:keepNext w:val="0"/>
        <w:keepLines w:val="0"/>
        <w:spacing w:line="600" w:lineRule="exact"/>
        <w:ind w:firstLineChars="200" w:firstLine="640"/>
        <w:jc w:val="both"/>
        <w:rPr>
          <w:rStyle w:val="NormalCharacter"/>
          <w:rFonts w:ascii="楷体" w:eastAsia="楷体" w:hAnsi="楷体" w:cs="楷体"/>
          <w:b w:val="0"/>
          <w:szCs w:val="32"/>
        </w:rPr>
      </w:pPr>
      <w:bookmarkStart w:id="4" w:name="_Toc28573"/>
      <w:r>
        <w:rPr>
          <w:rStyle w:val="NormalCharacter"/>
          <w:rFonts w:ascii="楷体" w:eastAsia="楷体" w:hAnsi="楷体" w:cs="楷体" w:hint="eastAsia"/>
          <w:b w:val="0"/>
          <w:szCs w:val="32"/>
        </w:rPr>
        <w:t>（一）学位授权点基本情况</w:t>
      </w:r>
      <w:bookmarkEnd w:id="4"/>
    </w:p>
    <w:p w:rsidR="00B1111D" w:rsidRDefault="001C004B">
      <w:pPr>
        <w:pStyle w:val="2"/>
        <w:spacing w:line="600" w:lineRule="exact"/>
        <w:ind w:firstLineChars="200" w:firstLine="680"/>
        <w:rPr>
          <w:rFonts w:ascii="仿宋" w:eastAsia="仿宋" w:hAnsi="仿宋" w:cs="仿宋"/>
          <w:b w:val="0"/>
          <w:bCs/>
          <w:sz w:val="34"/>
          <w:szCs w:val="34"/>
        </w:rPr>
      </w:pPr>
      <w:bookmarkStart w:id="5" w:name="_Toc21086"/>
      <w:bookmarkStart w:id="6" w:name="_Toc8516"/>
      <w:bookmarkStart w:id="7" w:name="_Toc9374"/>
      <w:r>
        <w:rPr>
          <w:rFonts w:ascii="仿宋" w:eastAsia="仿宋" w:hAnsi="仿宋" w:cs="仿宋" w:hint="eastAsia"/>
          <w:b w:val="0"/>
          <w:bCs/>
          <w:sz w:val="34"/>
          <w:szCs w:val="34"/>
        </w:rPr>
        <w:t>大连医科大学创建于1947年，自1955年开始招收</w:t>
      </w:r>
      <w:r w:rsidRPr="002D34B4">
        <w:rPr>
          <w:rFonts w:ascii="仿宋" w:eastAsia="仿宋" w:hAnsi="仿宋" w:cs="仿宋" w:hint="eastAsia"/>
          <w:b w:val="0"/>
          <w:bCs/>
          <w:sz w:val="34"/>
          <w:szCs w:val="34"/>
        </w:rPr>
        <w:t>研究生，是全国首批研究生招生单位。学校现有2所直属附属医院，总建筑面积80万平方米，编制床位8700张，</w:t>
      </w:r>
      <w:r>
        <w:rPr>
          <w:rFonts w:ascii="仿宋" w:eastAsia="仿宋" w:hAnsi="仿宋" w:cs="仿宋" w:hint="eastAsia"/>
          <w:b w:val="0"/>
          <w:bCs/>
          <w:sz w:val="34"/>
          <w:szCs w:val="34"/>
        </w:rPr>
        <w:t>总诊疗人数近500万人次/年，住院人数25万人次/年。2006年获批临床医学一级学科硕士学位授权点，2011年获批临床医学一级学科博士学位授权点。</w:t>
      </w:r>
      <w:bookmarkEnd w:id="5"/>
      <w:bookmarkEnd w:id="6"/>
      <w:bookmarkEnd w:id="7"/>
    </w:p>
    <w:p w:rsidR="002D34B4" w:rsidRDefault="002D34B4" w:rsidP="002D34B4">
      <w:pPr>
        <w:pStyle w:val="3"/>
        <w:ind w:firstLine="680"/>
        <w:rPr>
          <w:rFonts w:ascii="仿宋" w:eastAsia="仿宋" w:hAnsi="仿宋" w:cs="仿宋"/>
          <w:sz w:val="34"/>
          <w:szCs w:val="34"/>
        </w:rPr>
      </w:pPr>
      <w:r w:rsidRPr="002D34B4">
        <w:rPr>
          <w:rFonts w:ascii="仿宋" w:eastAsia="仿宋" w:hAnsi="仿宋" w:cs="仿宋" w:hint="eastAsia"/>
          <w:sz w:val="34"/>
          <w:szCs w:val="34"/>
        </w:rPr>
        <w:t>学位点拥有一支高水平的师资队伍，中组部“千人计划”1名，“长江学者”1名，国家“百千万人才工程”人选3人，国家“杰出青年科学基金”获得者2人，“863计划”首席专家1人，国家重大科研仪器研制项目负责人1人，享受国务院政府特殊津贴专家12人，国家卫生计生突出贡献中青年专家4人，国家“优秀青年科学基金”获得者1人，国家万人计划科技领军人才1人，其他国家级或省级人才称号及获得者40余人次。</w:t>
      </w:r>
      <w:r>
        <w:rPr>
          <w:rFonts w:ascii="仿宋" w:eastAsia="仿宋" w:hAnsi="仿宋" w:cs="仿宋" w:hint="eastAsia"/>
          <w:sz w:val="34"/>
          <w:szCs w:val="34"/>
        </w:rPr>
        <w:t>2024年</w:t>
      </w:r>
      <w:r w:rsidRPr="002D34B4">
        <w:rPr>
          <w:rFonts w:ascii="仿宋" w:eastAsia="仿宋" w:hAnsi="仿宋" w:cs="仿宋" w:hint="eastAsia"/>
          <w:sz w:val="34"/>
          <w:szCs w:val="34"/>
        </w:rPr>
        <w:t>荣获辽宁省优秀研究生导师</w:t>
      </w:r>
      <w:r>
        <w:rPr>
          <w:rFonts w:ascii="仿宋" w:eastAsia="仿宋" w:hAnsi="仿宋" w:cs="仿宋" w:hint="eastAsia"/>
          <w:sz w:val="34"/>
          <w:szCs w:val="34"/>
        </w:rPr>
        <w:t>1</w:t>
      </w:r>
      <w:r w:rsidRPr="002D34B4">
        <w:rPr>
          <w:rFonts w:ascii="仿宋" w:eastAsia="仿宋" w:hAnsi="仿宋" w:cs="仿宋" w:hint="eastAsia"/>
          <w:sz w:val="34"/>
          <w:szCs w:val="34"/>
        </w:rPr>
        <w:t>人。</w:t>
      </w:r>
    </w:p>
    <w:p w:rsidR="00B1111D" w:rsidRDefault="001C004B">
      <w:pPr>
        <w:pStyle w:val="2"/>
        <w:keepNext w:val="0"/>
        <w:keepLines w:val="0"/>
        <w:spacing w:line="600" w:lineRule="exact"/>
        <w:ind w:firstLineChars="200" w:firstLine="640"/>
        <w:jc w:val="both"/>
        <w:rPr>
          <w:rStyle w:val="NormalCharacter"/>
          <w:rFonts w:ascii="楷体" w:eastAsia="楷体" w:hAnsi="楷体" w:cs="楷体"/>
          <w:b w:val="0"/>
          <w:szCs w:val="32"/>
        </w:rPr>
      </w:pPr>
      <w:bookmarkStart w:id="8" w:name="_Toc27246"/>
      <w:r>
        <w:rPr>
          <w:rStyle w:val="NormalCharacter"/>
          <w:rFonts w:ascii="楷体" w:eastAsia="楷体" w:hAnsi="楷体" w:cs="楷体" w:hint="eastAsia"/>
          <w:b w:val="0"/>
          <w:szCs w:val="32"/>
        </w:rPr>
        <w:t>（二）学科建设情况</w:t>
      </w:r>
      <w:bookmarkEnd w:id="8"/>
    </w:p>
    <w:p w:rsidR="00B1111D" w:rsidRDefault="00BB7C22" w:rsidP="00BB7C22">
      <w:pPr>
        <w:spacing w:line="600" w:lineRule="exact"/>
        <w:ind w:firstLineChars="200" w:firstLine="680"/>
        <w:rPr>
          <w:rFonts w:ascii="仿宋" w:eastAsia="仿宋" w:hAnsi="仿宋" w:cs="仿宋"/>
          <w:bCs/>
          <w:sz w:val="34"/>
          <w:szCs w:val="34"/>
        </w:rPr>
      </w:pPr>
      <w:r w:rsidRPr="00BB7C22">
        <w:rPr>
          <w:rFonts w:ascii="仿宋" w:eastAsia="仿宋" w:hAnsi="仿宋" w:cs="仿宋" w:hint="eastAsia"/>
          <w:bCs/>
          <w:sz w:val="34"/>
          <w:szCs w:val="34"/>
        </w:rPr>
        <w:t>学位点拥有1个国家发改委国家地方联合工程实验室，1个国家级国际科研合作基地1个，15个国家临床重点专科，60个省级临床重点专科，3个国家区域医疗中心，7个国家临床医学研究中心分中心，拥有部级实验室、省重点实验室、省专业技术创新中心、省临床医</w:t>
      </w:r>
      <w:r w:rsidRPr="00BB7C22">
        <w:rPr>
          <w:rFonts w:ascii="仿宋" w:eastAsia="仿宋" w:hAnsi="仿宋" w:cs="仿宋" w:hint="eastAsia"/>
          <w:bCs/>
          <w:sz w:val="34"/>
          <w:szCs w:val="34"/>
        </w:rPr>
        <w:lastRenderedPageBreak/>
        <w:t>学研究中心、省工程实验室、省工程研究中心、省高校重大科技平台、省高校重点实验室、省高等学校协同创新中心等省部级科技平台。核心竞争力显著提高，进入辽宁省一流学科建设名单。</w:t>
      </w:r>
      <w:r w:rsidR="001C004B">
        <w:rPr>
          <w:rFonts w:ascii="仿宋" w:eastAsia="仿宋" w:hAnsi="仿宋" w:cs="仿宋" w:hint="eastAsia"/>
          <w:bCs/>
          <w:sz w:val="34"/>
          <w:szCs w:val="34"/>
        </w:rPr>
        <w:t>临床医学学科拥有1个国家级国际科研合作基地，11个国家临床重点专科，60个省级临床重点专科，3个国家区域医疗中心，4个国家临床医学研究中心分中心，拥有部级实验室、省重点实验室、省专业技术创新中心、省临床医学研究中心、省工程实验室、省工程研究中心、省高校重大科技平台、省高校重点实验室、省高等学校协同创新中心等省部级科技平台。核心竞争力显著提高，进入辽宁省一流学科建设名单。</w:t>
      </w:r>
    </w:p>
    <w:p w:rsidR="00B1111D" w:rsidRDefault="001C004B">
      <w:pPr>
        <w:spacing w:line="600" w:lineRule="exact"/>
        <w:ind w:firstLineChars="200" w:firstLine="680"/>
        <w:rPr>
          <w:rFonts w:ascii="仿宋" w:eastAsia="仿宋" w:hAnsi="仿宋" w:cs="仿宋"/>
          <w:bCs/>
          <w:sz w:val="34"/>
          <w:szCs w:val="34"/>
        </w:rPr>
      </w:pPr>
      <w:bookmarkStart w:id="9" w:name="OLE_LINK1"/>
      <w:bookmarkStart w:id="10" w:name="OLE_LINK2"/>
      <w:r>
        <w:rPr>
          <w:rFonts w:ascii="仿宋" w:eastAsia="仿宋" w:hAnsi="仿宋" w:cs="仿宋" w:hint="eastAsia"/>
          <w:bCs/>
          <w:sz w:val="34"/>
          <w:szCs w:val="34"/>
        </w:rPr>
        <w:t>202</w:t>
      </w:r>
      <w:r w:rsidR="00BB7C22">
        <w:rPr>
          <w:rFonts w:ascii="仿宋" w:eastAsia="仿宋" w:hAnsi="仿宋" w:cs="仿宋" w:hint="eastAsia"/>
          <w:bCs/>
          <w:sz w:val="34"/>
          <w:szCs w:val="34"/>
        </w:rPr>
        <w:t>4</w:t>
      </w:r>
      <w:r>
        <w:rPr>
          <w:rFonts w:ascii="仿宋" w:eastAsia="仿宋" w:hAnsi="仿宋" w:cs="仿宋" w:hint="eastAsia"/>
          <w:bCs/>
          <w:sz w:val="34"/>
          <w:szCs w:val="34"/>
        </w:rPr>
        <w:t>年获批国家级科研项目</w:t>
      </w:r>
      <w:r w:rsidR="00CD672A">
        <w:rPr>
          <w:rFonts w:ascii="仿宋" w:eastAsia="仿宋" w:hAnsi="仿宋" w:cs="仿宋" w:hint="eastAsia"/>
          <w:bCs/>
          <w:sz w:val="34"/>
          <w:szCs w:val="34"/>
        </w:rPr>
        <w:t>9</w:t>
      </w:r>
      <w:r>
        <w:rPr>
          <w:rFonts w:ascii="仿宋" w:eastAsia="仿宋" w:hAnsi="仿宋" w:cs="仿宋" w:hint="eastAsia"/>
          <w:bCs/>
          <w:sz w:val="34"/>
          <w:szCs w:val="34"/>
        </w:rPr>
        <w:t>项，省部级科研项目</w:t>
      </w:r>
      <w:r w:rsidR="00CD672A">
        <w:rPr>
          <w:rFonts w:ascii="仿宋" w:eastAsia="仿宋" w:hAnsi="仿宋" w:cs="仿宋" w:hint="eastAsia"/>
          <w:bCs/>
          <w:sz w:val="34"/>
          <w:szCs w:val="34"/>
        </w:rPr>
        <w:t>8</w:t>
      </w:r>
      <w:r>
        <w:rPr>
          <w:rFonts w:ascii="仿宋" w:eastAsia="仿宋" w:hAnsi="仿宋" w:cs="仿宋" w:hint="eastAsia"/>
          <w:bCs/>
          <w:sz w:val="34"/>
          <w:szCs w:val="34"/>
        </w:rPr>
        <w:t>项，科研经费累计</w:t>
      </w:r>
      <w:r w:rsidR="00CD672A">
        <w:rPr>
          <w:rFonts w:ascii="仿宋" w:eastAsia="仿宋" w:hAnsi="仿宋" w:cs="仿宋" w:hint="eastAsia"/>
          <w:bCs/>
          <w:sz w:val="34"/>
          <w:szCs w:val="34"/>
        </w:rPr>
        <w:t>548</w:t>
      </w:r>
      <w:r>
        <w:rPr>
          <w:rFonts w:ascii="仿宋" w:eastAsia="仿宋" w:hAnsi="仿宋" w:cs="仿宋" w:hint="eastAsia"/>
          <w:bCs/>
          <w:sz w:val="34"/>
          <w:szCs w:val="34"/>
        </w:rPr>
        <w:t>万元；</w:t>
      </w:r>
      <w:r w:rsidR="00CD672A">
        <w:rPr>
          <w:rFonts w:ascii="仿宋" w:eastAsia="仿宋" w:hAnsi="仿宋" w:cs="仿宋" w:hint="eastAsia"/>
          <w:bCs/>
          <w:sz w:val="34"/>
          <w:szCs w:val="34"/>
        </w:rPr>
        <w:t>获批横向课题25项，累计到账经费595万元。</w:t>
      </w:r>
    </w:p>
    <w:p w:rsidR="00B1111D" w:rsidRDefault="001C004B">
      <w:pPr>
        <w:pStyle w:val="2"/>
        <w:keepNext w:val="0"/>
        <w:keepLines w:val="0"/>
        <w:spacing w:line="600" w:lineRule="exact"/>
        <w:ind w:firstLineChars="200" w:firstLine="640"/>
        <w:jc w:val="both"/>
        <w:rPr>
          <w:rStyle w:val="NormalCharacter"/>
          <w:rFonts w:ascii="楷体" w:eastAsia="楷体" w:hAnsi="楷体" w:cs="楷体"/>
          <w:b w:val="0"/>
          <w:szCs w:val="32"/>
        </w:rPr>
      </w:pPr>
      <w:bookmarkStart w:id="11" w:name="_Toc1587"/>
      <w:bookmarkEnd w:id="9"/>
      <w:bookmarkEnd w:id="10"/>
      <w:r>
        <w:rPr>
          <w:rStyle w:val="NormalCharacter"/>
          <w:rFonts w:ascii="楷体" w:eastAsia="楷体" w:hAnsi="楷体" w:cs="楷体" w:hint="eastAsia"/>
          <w:b w:val="0"/>
          <w:szCs w:val="32"/>
        </w:rPr>
        <w:t>（三）研究生情况</w:t>
      </w:r>
      <w:bookmarkEnd w:id="11"/>
    </w:p>
    <w:p w:rsidR="00B1111D" w:rsidRPr="00594E2D" w:rsidRDefault="001C004B">
      <w:pPr>
        <w:spacing w:line="600" w:lineRule="exact"/>
        <w:ind w:firstLineChars="200" w:firstLine="680"/>
        <w:rPr>
          <w:rFonts w:ascii="仿宋" w:eastAsia="仿宋" w:hAnsi="仿宋" w:cs="仿宋"/>
          <w:bCs/>
          <w:sz w:val="34"/>
          <w:szCs w:val="34"/>
        </w:rPr>
      </w:pPr>
      <w:r w:rsidRPr="00594E2D">
        <w:rPr>
          <w:rFonts w:ascii="仿宋" w:eastAsia="仿宋" w:hAnsi="仿宋" w:cs="仿宋" w:hint="eastAsia"/>
          <w:sz w:val="34"/>
          <w:szCs w:val="34"/>
        </w:rPr>
        <w:t>学位点202</w:t>
      </w:r>
      <w:r w:rsidR="00A7070F" w:rsidRPr="00594E2D">
        <w:rPr>
          <w:rFonts w:ascii="仿宋" w:eastAsia="仿宋" w:hAnsi="仿宋" w:cs="仿宋" w:hint="eastAsia"/>
          <w:sz w:val="34"/>
          <w:szCs w:val="34"/>
        </w:rPr>
        <w:t>4</w:t>
      </w:r>
      <w:r w:rsidRPr="00594E2D">
        <w:rPr>
          <w:rFonts w:ascii="仿宋" w:eastAsia="仿宋" w:hAnsi="仿宋" w:cs="仿宋" w:hint="eastAsia"/>
          <w:sz w:val="34"/>
          <w:szCs w:val="34"/>
        </w:rPr>
        <w:t>年共招收博士研究生</w:t>
      </w:r>
      <w:r w:rsidR="004E3DFB" w:rsidRPr="00594E2D">
        <w:rPr>
          <w:rFonts w:ascii="仿宋" w:eastAsia="仿宋" w:hAnsi="仿宋" w:cs="仿宋" w:hint="eastAsia"/>
          <w:sz w:val="34"/>
          <w:szCs w:val="34"/>
        </w:rPr>
        <w:t>24</w:t>
      </w:r>
      <w:r w:rsidRPr="00594E2D">
        <w:rPr>
          <w:rFonts w:ascii="仿宋" w:eastAsia="仿宋" w:hAnsi="仿宋" w:cs="仿宋" w:hint="eastAsia"/>
          <w:sz w:val="34"/>
          <w:szCs w:val="34"/>
        </w:rPr>
        <w:t>人，招收学术学位硕士研究生</w:t>
      </w:r>
      <w:r w:rsidR="00594E2D" w:rsidRPr="00594E2D">
        <w:rPr>
          <w:rFonts w:ascii="仿宋" w:eastAsia="仿宋" w:hAnsi="仿宋" w:cs="仿宋" w:hint="eastAsia"/>
          <w:sz w:val="34"/>
          <w:szCs w:val="34"/>
        </w:rPr>
        <w:t>279</w:t>
      </w:r>
      <w:r w:rsidRPr="00594E2D">
        <w:rPr>
          <w:rFonts w:ascii="仿宋" w:eastAsia="仿宋" w:hAnsi="仿宋" w:cs="仿宋" w:hint="eastAsia"/>
          <w:sz w:val="34"/>
          <w:szCs w:val="34"/>
        </w:rPr>
        <w:t>人，</w:t>
      </w:r>
      <w:r w:rsidR="009E4D69" w:rsidRPr="009E4D69">
        <w:rPr>
          <w:rFonts w:ascii="仿宋" w:eastAsia="仿宋" w:hAnsi="仿宋" w:cs="仿宋" w:hint="eastAsia"/>
          <w:bCs/>
          <w:sz w:val="34"/>
          <w:szCs w:val="34"/>
        </w:rPr>
        <w:t>授予医学博士学位11人，医学硕士学位230人。</w:t>
      </w:r>
      <w:r w:rsidRPr="00594E2D">
        <w:rPr>
          <w:rFonts w:ascii="仿宋" w:eastAsia="仿宋" w:hAnsi="仿宋" w:cs="仿宋" w:hint="eastAsia"/>
          <w:sz w:val="34"/>
          <w:szCs w:val="34"/>
        </w:rPr>
        <w:t>目前学术学位博士生在校人数共计</w:t>
      </w:r>
      <w:r w:rsidR="004E3DFB" w:rsidRPr="00594E2D">
        <w:rPr>
          <w:rFonts w:ascii="仿宋" w:eastAsia="仿宋" w:hAnsi="仿宋" w:cs="仿宋" w:hint="eastAsia"/>
          <w:sz w:val="34"/>
          <w:szCs w:val="34"/>
        </w:rPr>
        <w:t>66</w:t>
      </w:r>
      <w:r w:rsidRPr="00594E2D">
        <w:rPr>
          <w:rFonts w:ascii="仿宋" w:eastAsia="仿宋" w:hAnsi="仿宋" w:cs="仿宋" w:hint="eastAsia"/>
          <w:sz w:val="34"/>
          <w:szCs w:val="34"/>
        </w:rPr>
        <w:t>人，学术学位硕士生在校人数共计</w:t>
      </w:r>
      <w:r w:rsidR="00594E2D" w:rsidRPr="00594E2D">
        <w:rPr>
          <w:rFonts w:ascii="仿宋" w:eastAsia="仿宋" w:hAnsi="仿宋" w:cs="仿宋" w:hint="eastAsia"/>
          <w:sz w:val="34"/>
          <w:szCs w:val="34"/>
        </w:rPr>
        <w:t>829</w:t>
      </w:r>
      <w:r w:rsidRPr="00594E2D">
        <w:rPr>
          <w:rFonts w:ascii="仿宋" w:eastAsia="仿宋" w:hAnsi="仿宋" w:cs="仿宋" w:hint="eastAsia"/>
          <w:sz w:val="34"/>
          <w:szCs w:val="34"/>
        </w:rPr>
        <w:t>人。</w:t>
      </w:r>
      <w:r w:rsidRPr="00594E2D">
        <w:rPr>
          <w:rFonts w:ascii="仿宋" w:eastAsia="仿宋" w:hAnsi="仿宋" w:cs="仿宋" w:hint="eastAsia"/>
          <w:bCs/>
          <w:sz w:val="34"/>
          <w:szCs w:val="34"/>
        </w:rPr>
        <w:t>202</w:t>
      </w:r>
      <w:r w:rsidR="004E3DFB" w:rsidRPr="00594E2D">
        <w:rPr>
          <w:rFonts w:ascii="仿宋" w:eastAsia="仿宋" w:hAnsi="仿宋" w:cs="仿宋" w:hint="eastAsia"/>
          <w:bCs/>
          <w:sz w:val="34"/>
          <w:szCs w:val="34"/>
        </w:rPr>
        <w:t>4</w:t>
      </w:r>
      <w:r w:rsidRPr="00594E2D">
        <w:rPr>
          <w:rFonts w:ascii="仿宋" w:eastAsia="仿宋" w:hAnsi="仿宋" w:cs="仿宋" w:hint="eastAsia"/>
          <w:bCs/>
          <w:sz w:val="34"/>
          <w:szCs w:val="34"/>
        </w:rPr>
        <w:t>年获评</w:t>
      </w:r>
      <w:r w:rsidR="00F62F53" w:rsidRPr="00594E2D">
        <w:rPr>
          <w:rFonts w:ascii="仿宋" w:eastAsia="仿宋" w:hAnsi="仿宋" w:cs="仿宋" w:hint="eastAsia"/>
          <w:bCs/>
          <w:sz w:val="34"/>
          <w:szCs w:val="34"/>
        </w:rPr>
        <w:t>省级优秀博士学位论文1篇，省级优秀硕士学位论文1篇。</w:t>
      </w:r>
      <w:r w:rsidR="00F62F53" w:rsidRPr="00594E2D">
        <w:rPr>
          <w:rFonts w:ascii="仿宋" w:eastAsia="仿宋" w:hAnsi="仿宋" w:cs="仿宋"/>
          <w:bCs/>
          <w:sz w:val="34"/>
          <w:szCs w:val="34"/>
        </w:rPr>
        <w:t xml:space="preserve"> </w:t>
      </w:r>
    </w:p>
    <w:p w:rsidR="00B1111D" w:rsidRDefault="001C004B">
      <w:pPr>
        <w:pStyle w:val="3"/>
        <w:ind w:firstLine="680"/>
        <w:rPr>
          <w:rFonts w:ascii="仿宋" w:eastAsia="仿宋" w:hAnsi="仿宋" w:cs="仿宋"/>
          <w:bCs/>
          <w:color w:val="000000" w:themeColor="text1"/>
          <w:sz w:val="34"/>
          <w:szCs w:val="34"/>
        </w:rPr>
      </w:pPr>
      <w:r w:rsidRPr="008379BE">
        <w:rPr>
          <w:rFonts w:ascii="仿宋" w:eastAsia="仿宋" w:hAnsi="仿宋" w:cs="仿宋" w:hint="eastAsia"/>
          <w:bCs/>
          <w:color w:val="auto"/>
          <w:sz w:val="34"/>
          <w:szCs w:val="34"/>
        </w:rPr>
        <w:t>202</w:t>
      </w:r>
      <w:r w:rsidR="003B187F" w:rsidRPr="008379BE">
        <w:rPr>
          <w:rFonts w:ascii="仿宋" w:eastAsia="仿宋" w:hAnsi="仿宋" w:cs="仿宋" w:hint="eastAsia"/>
          <w:bCs/>
          <w:color w:val="auto"/>
          <w:sz w:val="34"/>
          <w:szCs w:val="34"/>
        </w:rPr>
        <w:t>4</w:t>
      </w:r>
      <w:r w:rsidRPr="008379BE">
        <w:rPr>
          <w:rFonts w:ascii="仿宋" w:eastAsia="仿宋" w:hAnsi="仿宋" w:cs="仿宋" w:hint="eastAsia"/>
          <w:bCs/>
          <w:color w:val="auto"/>
          <w:sz w:val="34"/>
          <w:szCs w:val="34"/>
        </w:rPr>
        <w:t>年</w:t>
      </w:r>
      <w:r w:rsidRPr="008379BE">
        <w:rPr>
          <w:rFonts w:ascii="仿宋" w:eastAsia="仿宋" w:hAnsi="仿宋" w:cs="仿宋" w:hint="eastAsia"/>
          <w:bCs/>
          <w:sz w:val="34"/>
          <w:szCs w:val="34"/>
        </w:rPr>
        <w:t>学位点</w:t>
      </w:r>
      <w:r w:rsidRPr="008379BE">
        <w:rPr>
          <w:rFonts w:ascii="仿宋" w:eastAsia="仿宋" w:hAnsi="仿宋" w:cs="仿宋" w:hint="eastAsia"/>
          <w:bCs/>
          <w:color w:val="auto"/>
          <w:sz w:val="34"/>
          <w:szCs w:val="34"/>
        </w:rPr>
        <w:t>临床医学学术学位博士毕业研究生共</w:t>
      </w:r>
      <w:r w:rsidRPr="008379BE">
        <w:rPr>
          <w:rFonts w:ascii="仿宋" w:eastAsia="仿宋" w:hAnsi="仿宋" w:cs="仿宋" w:hint="eastAsia"/>
          <w:bCs/>
          <w:color w:val="auto"/>
          <w:sz w:val="34"/>
          <w:szCs w:val="34"/>
        </w:rPr>
        <w:lastRenderedPageBreak/>
        <w:t>计</w:t>
      </w:r>
      <w:r w:rsidR="008379BE" w:rsidRPr="008379BE">
        <w:rPr>
          <w:rFonts w:ascii="仿宋" w:eastAsia="仿宋" w:hAnsi="仿宋" w:cs="仿宋"/>
          <w:bCs/>
          <w:color w:val="auto"/>
          <w:sz w:val="34"/>
          <w:szCs w:val="34"/>
        </w:rPr>
        <w:t>11</w:t>
      </w:r>
      <w:r w:rsidRPr="008379BE">
        <w:rPr>
          <w:rFonts w:ascii="仿宋" w:eastAsia="仿宋" w:hAnsi="仿宋" w:cs="仿宋" w:hint="eastAsia"/>
          <w:bCs/>
          <w:color w:val="auto"/>
          <w:sz w:val="34"/>
          <w:szCs w:val="34"/>
        </w:rPr>
        <w:t>名，学术学位硕士研究生</w:t>
      </w:r>
      <w:r w:rsidR="008379BE" w:rsidRPr="008379BE">
        <w:rPr>
          <w:rFonts w:ascii="仿宋" w:eastAsia="仿宋" w:hAnsi="仿宋" w:cs="仿宋"/>
          <w:bCs/>
          <w:color w:val="auto"/>
          <w:sz w:val="34"/>
          <w:szCs w:val="34"/>
        </w:rPr>
        <w:t>230</w:t>
      </w:r>
      <w:r w:rsidRPr="008379BE">
        <w:rPr>
          <w:rFonts w:ascii="仿宋" w:eastAsia="仿宋" w:hAnsi="仿宋" w:cs="仿宋" w:hint="eastAsia"/>
          <w:bCs/>
          <w:color w:val="auto"/>
          <w:sz w:val="34"/>
          <w:szCs w:val="34"/>
        </w:rPr>
        <w:t>名，</w:t>
      </w:r>
      <w:r w:rsidRPr="00CA209E">
        <w:rPr>
          <w:rFonts w:ascii="仿宋" w:eastAsia="仿宋" w:hAnsi="仿宋" w:cs="仿宋" w:hint="eastAsia"/>
          <w:bCs/>
          <w:color w:val="auto"/>
          <w:sz w:val="34"/>
          <w:szCs w:val="34"/>
        </w:rPr>
        <w:t>截至202</w:t>
      </w:r>
      <w:r w:rsidR="003B187F" w:rsidRPr="00CA209E">
        <w:rPr>
          <w:rFonts w:ascii="仿宋" w:eastAsia="仿宋" w:hAnsi="仿宋" w:cs="仿宋" w:hint="eastAsia"/>
          <w:bCs/>
          <w:color w:val="auto"/>
          <w:sz w:val="34"/>
          <w:szCs w:val="34"/>
        </w:rPr>
        <w:t>4</w:t>
      </w:r>
      <w:r w:rsidRPr="00CA209E">
        <w:rPr>
          <w:rFonts w:ascii="仿宋" w:eastAsia="仿宋" w:hAnsi="仿宋" w:cs="仿宋" w:hint="eastAsia"/>
          <w:bCs/>
          <w:color w:val="auto"/>
          <w:sz w:val="34"/>
          <w:szCs w:val="34"/>
        </w:rPr>
        <w:t>年12月31日，临床医学学术学位博士就业率</w:t>
      </w:r>
      <w:r w:rsidRPr="00CA209E">
        <w:rPr>
          <w:rFonts w:ascii="仿宋" w:eastAsia="仿宋" w:hAnsi="仿宋" w:cs="仿宋"/>
          <w:bCs/>
          <w:color w:val="auto"/>
          <w:sz w:val="34"/>
          <w:szCs w:val="34"/>
        </w:rPr>
        <w:t>100</w:t>
      </w:r>
      <w:r w:rsidRPr="00CA209E">
        <w:rPr>
          <w:rFonts w:ascii="仿宋" w:eastAsia="仿宋" w:hAnsi="仿宋" w:cs="仿宋" w:hint="eastAsia"/>
          <w:bCs/>
          <w:color w:val="auto"/>
          <w:sz w:val="34"/>
          <w:szCs w:val="34"/>
        </w:rPr>
        <w:t>％；临床医学学术学位硕士毕</w:t>
      </w:r>
      <w:r w:rsidRPr="00CA209E">
        <w:rPr>
          <w:rFonts w:ascii="仿宋" w:eastAsia="仿宋" w:hAnsi="仿宋" w:cs="仿宋" w:hint="eastAsia"/>
          <w:bCs/>
          <w:color w:val="000000" w:themeColor="text1"/>
          <w:sz w:val="34"/>
          <w:szCs w:val="34"/>
        </w:rPr>
        <w:t>业研究生就业率</w:t>
      </w:r>
      <w:r w:rsidR="00F57FB9" w:rsidRPr="00CA209E">
        <w:rPr>
          <w:rFonts w:ascii="仿宋" w:eastAsia="仿宋" w:hAnsi="仿宋" w:cs="仿宋" w:hint="eastAsia"/>
          <w:bCs/>
          <w:sz w:val="34"/>
          <w:szCs w:val="34"/>
        </w:rPr>
        <w:t>95.79%</w:t>
      </w:r>
      <w:r w:rsidRPr="00CA209E">
        <w:rPr>
          <w:rFonts w:ascii="仿宋" w:eastAsia="仿宋" w:hAnsi="仿宋" w:cs="仿宋" w:hint="eastAsia"/>
          <w:bCs/>
          <w:color w:val="000000" w:themeColor="text1"/>
          <w:sz w:val="34"/>
          <w:szCs w:val="34"/>
        </w:rPr>
        <w:t>。</w:t>
      </w:r>
    </w:p>
    <w:p w:rsidR="00B1111D" w:rsidRDefault="001C004B">
      <w:pPr>
        <w:ind w:firstLineChars="200" w:firstLine="640"/>
        <w:outlineLvl w:val="1"/>
        <w:rPr>
          <w:rFonts w:ascii="楷体" w:eastAsia="楷体" w:hAnsi="楷体" w:cs="楷体"/>
        </w:rPr>
      </w:pPr>
      <w:bookmarkStart w:id="12" w:name="_Toc22577"/>
      <w:r>
        <w:rPr>
          <w:rStyle w:val="NormalCharacter"/>
          <w:rFonts w:ascii="楷体" w:eastAsia="楷体" w:hAnsi="楷体" w:cs="楷体" w:hint="eastAsia"/>
          <w:bCs/>
          <w:szCs w:val="32"/>
        </w:rPr>
        <w:t>（四）研究生导师状况</w:t>
      </w:r>
      <w:bookmarkEnd w:id="12"/>
    </w:p>
    <w:p w:rsidR="00B1111D" w:rsidRDefault="001C004B">
      <w:pPr>
        <w:spacing w:line="600" w:lineRule="exact"/>
        <w:ind w:firstLineChars="200" w:firstLine="680"/>
        <w:rPr>
          <w:rFonts w:ascii="仿宋" w:eastAsia="仿宋" w:hAnsi="仿宋" w:cs="仿宋"/>
          <w:color w:val="000000"/>
          <w:sz w:val="34"/>
          <w:szCs w:val="34"/>
        </w:rPr>
      </w:pPr>
      <w:r>
        <w:rPr>
          <w:rFonts w:ascii="仿宋" w:eastAsia="仿宋" w:hAnsi="仿宋" w:cs="仿宋" w:hint="eastAsia"/>
          <w:color w:val="000000"/>
          <w:sz w:val="34"/>
          <w:szCs w:val="34"/>
        </w:rPr>
        <w:t>学位点现有学术型研究生导师</w:t>
      </w:r>
      <w:r w:rsidR="00A53499">
        <w:rPr>
          <w:rFonts w:ascii="仿宋" w:eastAsia="仿宋" w:hAnsi="仿宋" w:cs="仿宋" w:hint="eastAsia"/>
          <w:color w:val="000000"/>
          <w:sz w:val="34"/>
          <w:szCs w:val="34"/>
        </w:rPr>
        <w:t>470</w:t>
      </w:r>
      <w:r>
        <w:rPr>
          <w:rFonts w:ascii="仿宋" w:eastAsia="仿宋" w:hAnsi="仿宋" w:cs="仿宋" w:hint="eastAsia"/>
          <w:color w:val="000000"/>
          <w:sz w:val="34"/>
          <w:szCs w:val="34"/>
        </w:rPr>
        <w:t>人，其中学术型博士研究生导师</w:t>
      </w:r>
      <w:r w:rsidR="00A53499">
        <w:rPr>
          <w:rFonts w:ascii="仿宋" w:eastAsia="仿宋" w:hAnsi="仿宋" w:cs="仿宋" w:hint="eastAsia"/>
          <w:color w:val="000000"/>
          <w:sz w:val="34"/>
          <w:szCs w:val="34"/>
        </w:rPr>
        <w:t>69</w:t>
      </w:r>
      <w:r>
        <w:rPr>
          <w:rFonts w:ascii="仿宋" w:eastAsia="仿宋" w:hAnsi="仿宋" w:cs="仿宋" w:hint="eastAsia"/>
          <w:color w:val="000000"/>
          <w:sz w:val="34"/>
          <w:szCs w:val="34"/>
        </w:rPr>
        <w:t>人，人员结构详见表1。</w:t>
      </w:r>
    </w:p>
    <w:p w:rsidR="00B1111D" w:rsidRDefault="001C004B">
      <w:pPr>
        <w:spacing w:line="480" w:lineRule="auto"/>
        <w:jc w:val="center"/>
        <w:rPr>
          <w:rFonts w:ascii="仿宋" w:eastAsia="仿宋" w:hAnsi="仿宋" w:cs="仿宋"/>
          <w:b/>
          <w:kern w:val="0"/>
          <w:sz w:val="24"/>
          <w:szCs w:val="18"/>
        </w:rPr>
      </w:pPr>
      <w:r>
        <w:rPr>
          <w:rFonts w:ascii="仿宋" w:eastAsia="仿宋" w:hAnsi="仿宋" w:cs="仿宋" w:hint="eastAsia"/>
          <w:b/>
          <w:kern w:val="0"/>
          <w:sz w:val="24"/>
          <w:szCs w:val="18"/>
        </w:rPr>
        <w:t>表1 学位点学术型博士生导师结构情况（单位：人）</w:t>
      </w:r>
    </w:p>
    <w:tbl>
      <w:tblPr>
        <w:tblW w:w="8522" w:type="dxa"/>
        <w:jc w:val="center"/>
        <w:tblLook w:val="04A0"/>
      </w:tblPr>
      <w:tblGrid>
        <w:gridCol w:w="909"/>
        <w:gridCol w:w="909"/>
        <w:gridCol w:w="910"/>
        <w:gridCol w:w="910"/>
        <w:gridCol w:w="910"/>
        <w:gridCol w:w="911"/>
        <w:gridCol w:w="1076"/>
        <w:gridCol w:w="1076"/>
        <w:gridCol w:w="911"/>
      </w:tblGrid>
      <w:tr w:rsidR="00BC6E8F" w:rsidTr="00843FFB">
        <w:trPr>
          <w:trHeight w:val="340"/>
          <w:jc w:val="center"/>
        </w:trPr>
        <w:tc>
          <w:tcPr>
            <w:tcW w:w="0" w:type="auto"/>
            <w:vMerge w:val="restart"/>
            <w:tcBorders>
              <w:top w:val="single" w:sz="4" w:space="0" w:color="auto"/>
              <w:left w:val="nil"/>
              <w:bottom w:val="single" w:sz="8" w:space="0" w:color="000000"/>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项目</w:t>
            </w:r>
          </w:p>
        </w:tc>
        <w:tc>
          <w:tcPr>
            <w:tcW w:w="0" w:type="auto"/>
            <w:vMerge w:val="restart"/>
            <w:tcBorders>
              <w:top w:val="single" w:sz="4" w:space="0" w:color="auto"/>
              <w:left w:val="nil"/>
              <w:bottom w:val="single" w:sz="8" w:space="0" w:color="000000"/>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人数</w:t>
            </w:r>
          </w:p>
        </w:tc>
        <w:tc>
          <w:tcPr>
            <w:tcW w:w="0" w:type="auto"/>
            <w:gridSpan w:val="3"/>
            <w:tcBorders>
              <w:top w:val="single" w:sz="8" w:space="0" w:color="auto"/>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职称</w:t>
            </w:r>
          </w:p>
        </w:tc>
        <w:tc>
          <w:tcPr>
            <w:tcW w:w="0" w:type="auto"/>
            <w:gridSpan w:val="4"/>
            <w:tcBorders>
              <w:top w:val="single" w:sz="8" w:space="0" w:color="auto"/>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年龄（周岁）</w:t>
            </w:r>
          </w:p>
        </w:tc>
      </w:tr>
      <w:tr w:rsidR="00BC6E8F" w:rsidTr="00BC6E8F">
        <w:trPr>
          <w:trHeight w:val="340"/>
          <w:jc w:val="center"/>
        </w:trPr>
        <w:tc>
          <w:tcPr>
            <w:tcW w:w="0" w:type="auto"/>
            <w:vMerge/>
            <w:tcBorders>
              <w:left w:val="nil"/>
              <w:bottom w:val="single" w:sz="8" w:space="0" w:color="000000"/>
              <w:right w:val="nil"/>
            </w:tcBorders>
            <w:vAlign w:val="center"/>
          </w:tcPr>
          <w:p w:rsidR="00BC6E8F" w:rsidRDefault="00BC6E8F">
            <w:pPr>
              <w:widowControl/>
              <w:jc w:val="left"/>
              <w:rPr>
                <w:rFonts w:ascii="仿宋" w:eastAsia="仿宋" w:hAnsi="仿宋" w:cs="仿宋"/>
                <w:b/>
                <w:bCs/>
                <w:color w:val="000000"/>
                <w:kern w:val="0"/>
                <w:sz w:val="28"/>
                <w:szCs w:val="28"/>
              </w:rPr>
            </w:pPr>
          </w:p>
        </w:tc>
        <w:tc>
          <w:tcPr>
            <w:tcW w:w="0" w:type="auto"/>
            <w:vMerge/>
            <w:tcBorders>
              <w:left w:val="nil"/>
              <w:bottom w:val="single" w:sz="8" w:space="0" w:color="000000"/>
              <w:right w:val="nil"/>
            </w:tcBorders>
            <w:vAlign w:val="center"/>
          </w:tcPr>
          <w:p w:rsidR="00BC6E8F" w:rsidRDefault="00BC6E8F">
            <w:pPr>
              <w:widowControl/>
              <w:jc w:val="left"/>
              <w:rPr>
                <w:rFonts w:ascii="仿宋" w:eastAsia="仿宋" w:hAnsi="仿宋" w:cs="仿宋"/>
                <w:b/>
                <w:bCs/>
                <w:color w:val="000000"/>
                <w:kern w:val="0"/>
                <w:sz w:val="28"/>
                <w:szCs w:val="28"/>
              </w:rPr>
            </w:pP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正高</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副高</w:t>
            </w:r>
          </w:p>
        </w:tc>
        <w:tc>
          <w:tcPr>
            <w:tcW w:w="0" w:type="auto"/>
            <w:tcBorders>
              <w:top w:val="nil"/>
              <w:left w:val="nil"/>
              <w:bottom w:val="single" w:sz="8" w:space="0" w:color="auto"/>
              <w:right w:val="nil"/>
            </w:tcBorders>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中级</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≦40</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41-50</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51-60</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≧61</w:t>
            </w:r>
          </w:p>
        </w:tc>
      </w:tr>
      <w:tr w:rsidR="00BC6E8F" w:rsidTr="00BC6E8F">
        <w:trPr>
          <w:trHeight w:val="340"/>
          <w:jc w:val="center"/>
        </w:trPr>
        <w:tc>
          <w:tcPr>
            <w:tcW w:w="0" w:type="auto"/>
            <w:tcBorders>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b/>
                <w:bCs/>
                <w:color w:val="000000"/>
                <w:kern w:val="0"/>
                <w:sz w:val="28"/>
                <w:szCs w:val="28"/>
              </w:rPr>
              <w:t>博导</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69</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69</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0</w:t>
            </w:r>
          </w:p>
        </w:tc>
        <w:tc>
          <w:tcPr>
            <w:tcW w:w="0" w:type="auto"/>
            <w:tcBorders>
              <w:top w:val="nil"/>
              <w:left w:val="nil"/>
              <w:bottom w:val="single" w:sz="8" w:space="0" w:color="auto"/>
              <w:right w:val="nil"/>
            </w:tcBorders>
          </w:tcPr>
          <w:p w:rsidR="00BC6E8F" w:rsidRDefault="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0</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0</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13</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43</w:t>
            </w:r>
          </w:p>
        </w:tc>
        <w:tc>
          <w:tcPr>
            <w:tcW w:w="0" w:type="auto"/>
            <w:tcBorders>
              <w:top w:val="nil"/>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13</w:t>
            </w:r>
          </w:p>
        </w:tc>
      </w:tr>
      <w:tr w:rsidR="00BC6E8F" w:rsidTr="00BC6E8F">
        <w:trPr>
          <w:trHeight w:val="340"/>
          <w:jc w:val="center"/>
        </w:trPr>
        <w:tc>
          <w:tcPr>
            <w:tcW w:w="0" w:type="auto"/>
            <w:tcBorders>
              <w:top w:val="single" w:sz="8" w:space="0" w:color="auto"/>
              <w:left w:val="nil"/>
              <w:bottom w:val="single" w:sz="4"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b/>
                <w:bCs/>
                <w:color w:val="000000"/>
                <w:kern w:val="0"/>
                <w:sz w:val="28"/>
                <w:szCs w:val="28"/>
              </w:rPr>
              <w:t>硕导</w:t>
            </w:r>
          </w:p>
        </w:tc>
        <w:tc>
          <w:tcPr>
            <w:tcW w:w="0" w:type="auto"/>
            <w:tcBorders>
              <w:top w:val="single" w:sz="8" w:space="0" w:color="auto"/>
              <w:left w:val="nil"/>
              <w:bottom w:val="single" w:sz="4" w:space="0" w:color="auto"/>
              <w:right w:val="nil"/>
            </w:tcBorders>
            <w:shd w:val="clear" w:color="auto" w:fill="auto"/>
            <w:vAlign w:val="center"/>
          </w:tcPr>
          <w:p w:rsidR="00BC6E8F" w:rsidRDefault="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470</w:t>
            </w:r>
          </w:p>
        </w:tc>
        <w:tc>
          <w:tcPr>
            <w:tcW w:w="0" w:type="auto"/>
            <w:tcBorders>
              <w:top w:val="single" w:sz="8" w:space="0" w:color="auto"/>
              <w:left w:val="nil"/>
              <w:bottom w:val="single" w:sz="4" w:space="0" w:color="auto"/>
              <w:right w:val="nil"/>
            </w:tcBorders>
            <w:shd w:val="clear" w:color="auto" w:fill="auto"/>
            <w:vAlign w:val="center"/>
          </w:tcPr>
          <w:p w:rsidR="00BC6E8F" w:rsidRDefault="00AD38D6">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313</w:t>
            </w:r>
          </w:p>
        </w:tc>
        <w:tc>
          <w:tcPr>
            <w:tcW w:w="0" w:type="auto"/>
            <w:tcBorders>
              <w:top w:val="single" w:sz="8" w:space="0" w:color="auto"/>
              <w:left w:val="nil"/>
              <w:bottom w:val="single" w:sz="4" w:space="0" w:color="auto"/>
              <w:right w:val="nil"/>
            </w:tcBorders>
            <w:shd w:val="clear" w:color="auto" w:fill="auto"/>
            <w:vAlign w:val="center"/>
          </w:tcPr>
          <w:p w:rsidR="00BC6E8F" w:rsidRDefault="00D05BF1" w:rsidP="00BC6E8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146</w:t>
            </w:r>
          </w:p>
        </w:tc>
        <w:tc>
          <w:tcPr>
            <w:tcW w:w="0" w:type="auto"/>
            <w:tcBorders>
              <w:top w:val="single" w:sz="8" w:space="0" w:color="auto"/>
              <w:left w:val="nil"/>
              <w:bottom w:val="single" w:sz="4" w:space="0" w:color="auto"/>
              <w:right w:val="nil"/>
            </w:tcBorders>
          </w:tcPr>
          <w:p w:rsidR="00BC6E8F" w:rsidRDefault="00AD38D6">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c>
          <w:tcPr>
            <w:tcW w:w="0" w:type="auto"/>
            <w:tcBorders>
              <w:top w:val="single" w:sz="8" w:space="0" w:color="auto"/>
              <w:left w:val="nil"/>
              <w:bottom w:val="single" w:sz="4" w:space="0" w:color="auto"/>
              <w:right w:val="nil"/>
            </w:tcBorders>
            <w:shd w:val="clear" w:color="auto" w:fill="auto"/>
            <w:vAlign w:val="center"/>
          </w:tcPr>
          <w:p w:rsidR="00BC6E8F" w:rsidRDefault="00D330F4">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83</w:t>
            </w:r>
          </w:p>
        </w:tc>
        <w:tc>
          <w:tcPr>
            <w:tcW w:w="0" w:type="auto"/>
            <w:tcBorders>
              <w:top w:val="single" w:sz="8" w:space="0" w:color="auto"/>
              <w:left w:val="nil"/>
              <w:bottom w:val="single" w:sz="4"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188</w:t>
            </w:r>
            <w:r w:rsidR="00AD38D6">
              <w:rPr>
                <w:rFonts w:ascii="仿宋" w:eastAsia="仿宋" w:hAnsi="仿宋" w:cs="仿宋" w:hint="eastAsia"/>
                <w:color w:val="000000"/>
                <w:kern w:val="0"/>
                <w:sz w:val="28"/>
                <w:szCs w:val="28"/>
              </w:rPr>
              <w:t xml:space="preserve"> </w:t>
            </w:r>
          </w:p>
        </w:tc>
        <w:tc>
          <w:tcPr>
            <w:tcW w:w="0" w:type="auto"/>
            <w:tcBorders>
              <w:top w:val="single" w:sz="8" w:space="0" w:color="auto"/>
              <w:left w:val="nil"/>
              <w:bottom w:val="single" w:sz="4"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182</w:t>
            </w:r>
          </w:p>
        </w:tc>
        <w:tc>
          <w:tcPr>
            <w:tcW w:w="0" w:type="auto"/>
            <w:tcBorders>
              <w:top w:val="single" w:sz="8" w:space="0" w:color="auto"/>
              <w:left w:val="nil"/>
              <w:bottom w:val="single" w:sz="4"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17</w:t>
            </w:r>
          </w:p>
        </w:tc>
      </w:tr>
      <w:tr w:rsidR="00BC6E8F" w:rsidTr="00BC6E8F">
        <w:trPr>
          <w:trHeight w:val="340"/>
          <w:jc w:val="center"/>
        </w:trPr>
        <w:tc>
          <w:tcPr>
            <w:tcW w:w="0" w:type="auto"/>
            <w:tcBorders>
              <w:top w:val="single" w:sz="4" w:space="0" w:color="auto"/>
              <w:left w:val="nil"/>
              <w:bottom w:val="single" w:sz="8" w:space="0" w:color="auto"/>
              <w:right w:val="nil"/>
            </w:tcBorders>
            <w:shd w:val="clear" w:color="auto" w:fill="auto"/>
            <w:vAlign w:val="center"/>
          </w:tcPr>
          <w:p w:rsidR="00BC6E8F" w:rsidRDefault="00BC6E8F">
            <w:pPr>
              <w:widowControl/>
              <w:jc w:val="center"/>
              <w:rPr>
                <w:rFonts w:ascii="仿宋" w:eastAsia="仿宋" w:hAnsi="仿宋" w:cs="仿宋"/>
                <w:b/>
                <w:bCs/>
                <w:color w:val="000000"/>
                <w:kern w:val="0"/>
                <w:sz w:val="28"/>
                <w:szCs w:val="28"/>
              </w:rPr>
            </w:pPr>
            <w:r>
              <w:rPr>
                <w:rFonts w:ascii="仿宋" w:eastAsia="仿宋" w:hAnsi="仿宋" w:cs="仿宋"/>
                <w:b/>
                <w:bCs/>
                <w:color w:val="000000"/>
                <w:kern w:val="0"/>
                <w:sz w:val="28"/>
                <w:szCs w:val="28"/>
              </w:rPr>
              <w:t>合计</w:t>
            </w:r>
          </w:p>
        </w:tc>
        <w:tc>
          <w:tcPr>
            <w:tcW w:w="0" w:type="auto"/>
            <w:tcBorders>
              <w:top w:val="single" w:sz="4" w:space="0" w:color="auto"/>
              <w:left w:val="nil"/>
              <w:bottom w:val="single" w:sz="8"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539</w:t>
            </w:r>
          </w:p>
        </w:tc>
        <w:tc>
          <w:tcPr>
            <w:tcW w:w="0" w:type="auto"/>
            <w:tcBorders>
              <w:top w:val="single" w:sz="4" w:space="0" w:color="auto"/>
              <w:left w:val="nil"/>
              <w:bottom w:val="single" w:sz="8"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382</w:t>
            </w:r>
          </w:p>
        </w:tc>
        <w:tc>
          <w:tcPr>
            <w:tcW w:w="0" w:type="auto"/>
            <w:tcBorders>
              <w:top w:val="single" w:sz="4" w:space="0" w:color="auto"/>
              <w:left w:val="nil"/>
              <w:bottom w:val="single" w:sz="8"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146</w:t>
            </w:r>
          </w:p>
        </w:tc>
        <w:tc>
          <w:tcPr>
            <w:tcW w:w="0" w:type="auto"/>
            <w:tcBorders>
              <w:top w:val="single" w:sz="4" w:space="0" w:color="auto"/>
              <w:left w:val="nil"/>
              <w:bottom w:val="single" w:sz="8" w:space="0" w:color="auto"/>
              <w:right w:val="nil"/>
            </w:tcBorders>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c>
          <w:tcPr>
            <w:tcW w:w="0" w:type="auto"/>
            <w:tcBorders>
              <w:top w:val="single" w:sz="4" w:space="0" w:color="auto"/>
              <w:left w:val="nil"/>
              <w:bottom w:val="single" w:sz="8"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83</w:t>
            </w:r>
          </w:p>
        </w:tc>
        <w:tc>
          <w:tcPr>
            <w:tcW w:w="0" w:type="auto"/>
            <w:tcBorders>
              <w:top w:val="single" w:sz="4" w:space="0" w:color="auto"/>
              <w:left w:val="nil"/>
              <w:bottom w:val="single" w:sz="8"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201</w:t>
            </w:r>
          </w:p>
        </w:tc>
        <w:tc>
          <w:tcPr>
            <w:tcW w:w="0" w:type="auto"/>
            <w:tcBorders>
              <w:top w:val="single" w:sz="4" w:space="0" w:color="auto"/>
              <w:left w:val="nil"/>
              <w:bottom w:val="single" w:sz="8"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225</w:t>
            </w:r>
          </w:p>
        </w:tc>
        <w:tc>
          <w:tcPr>
            <w:tcW w:w="0" w:type="auto"/>
            <w:tcBorders>
              <w:top w:val="single" w:sz="4" w:space="0" w:color="auto"/>
              <w:left w:val="nil"/>
              <w:bottom w:val="single" w:sz="8" w:space="0" w:color="auto"/>
              <w:right w:val="nil"/>
            </w:tcBorders>
            <w:shd w:val="clear" w:color="auto" w:fill="auto"/>
            <w:vAlign w:val="center"/>
          </w:tcPr>
          <w:p w:rsidR="00BC6E8F" w:rsidRDefault="00102FE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30</w:t>
            </w:r>
          </w:p>
        </w:tc>
      </w:tr>
    </w:tbl>
    <w:p w:rsidR="00B1111D" w:rsidRDefault="00B1111D">
      <w:pPr>
        <w:pStyle w:val="3"/>
        <w:ind w:firstLine="643"/>
        <w:rPr>
          <w:rStyle w:val="NormalCharacter"/>
          <w:rFonts w:ascii="黑体" w:eastAsia="黑体" w:hAnsi="黑体" w:cs="黑体"/>
          <w:b/>
          <w:color w:val="auto"/>
          <w:szCs w:val="32"/>
        </w:rPr>
      </w:pPr>
    </w:p>
    <w:p w:rsidR="00B1111D" w:rsidRDefault="001C004B" w:rsidP="001C004B">
      <w:pPr>
        <w:pStyle w:val="3"/>
        <w:rPr>
          <w:rStyle w:val="NormalCharacter"/>
          <w:rFonts w:ascii="黑体" w:eastAsia="黑体" w:hAnsi="黑体" w:cs="黑体"/>
          <w:bCs/>
          <w:color w:val="auto"/>
          <w:szCs w:val="32"/>
        </w:rPr>
      </w:pPr>
      <w:bookmarkStart w:id="13" w:name="_Toc27522"/>
      <w:r>
        <w:rPr>
          <w:rStyle w:val="NormalCharacter"/>
          <w:rFonts w:ascii="黑体" w:eastAsia="黑体" w:hAnsi="黑体" w:cs="黑体" w:hint="eastAsia"/>
          <w:bCs/>
          <w:color w:val="auto"/>
          <w:szCs w:val="32"/>
        </w:rPr>
        <w:t>二、</w:t>
      </w:r>
      <w:r>
        <w:rPr>
          <w:rFonts w:cs="黑体" w:hint="eastAsia"/>
          <w:bCs/>
          <w:color w:val="auto"/>
        </w:rPr>
        <w:t>研究生党建与思想政治教育工作</w:t>
      </w:r>
      <w:bookmarkEnd w:id="13"/>
    </w:p>
    <w:p w:rsidR="00BF514A" w:rsidRPr="00BF514A" w:rsidRDefault="00BF514A" w:rsidP="00BF514A">
      <w:pPr>
        <w:pStyle w:val="3"/>
        <w:ind w:firstLine="680"/>
        <w:rPr>
          <w:rFonts w:ascii="仿宋" w:eastAsia="仿宋" w:hAnsi="仿宋" w:cs="仿宋"/>
          <w:bCs/>
          <w:sz w:val="34"/>
          <w:szCs w:val="34"/>
        </w:rPr>
      </w:pPr>
      <w:bookmarkStart w:id="14" w:name="_Toc27168"/>
      <w:r w:rsidRPr="00BF514A">
        <w:rPr>
          <w:rFonts w:ascii="仿宋" w:eastAsia="仿宋" w:hAnsi="仿宋" w:cs="仿宋" w:hint="eastAsia"/>
          <w:bCs/>
          <w:sz w:val="34"/>
          <w:szCs w:val="34"/>
        </w:rPr>
        <w:t>学位点始终秉持以高质量党建引领高质量发展的原则，将研究生党建工作视为统筹高校研究生教育与管理工作的核心。</w:t>
      </w:r>
    </w:p>
    <w:p w:rsidR="00BF514A" w:rsidRPr="00BF514A" w:rsidRDefault="00BF514A" w:rsidP="00BF514A">
      <w:pPr>
        <w:pStyle w:val="3"/>
        <w:ind w:firstLine="680"/>
        <w:rPr>
          <w:rFonts w:ascii="仿宋" w:eastAsia="仿宋" w:hAnsi="仿宋" w:cs="仿宋"/>
          <w:bCs/>
          <w:sz w:val="34"/>
          <w:szCs w:val="34"/>
        </w:rPr>
      </w:pPr>
      <w:r w:rsidRPr="00BF514A">
        <w:rPr>
          <w:rFonts w:ascii="仿宋" w:eastAsia="仿宋" w:hAnsi="仿宋" w:cs="仿宋" w:hint="eastAsia"/>
          <w:bCs/>
          <w:sz w:val="34"/>
          <w:szCs w:val="34"/>
        </w:rPr>
        <w:t>坚持优化党支部设置：研究生党总支目前党员338人，其中正式党员323人，预备党员15人，入党积极分子147人，入党申请人236人，结合医院特色学科和学生学科专业特点划分为9个党支部，确保党组织覆盖全面、设置科学。加强党支部标准化、规范化建设，建立健全党支部工作制度，提高党支部的凝聚力和战斗力。定期开展党支部活动，如主题党日、党课教育等，增强</w:t>
      </w:r>
      <w:r w:rsidRPr="00BF514A">
        <w:rPr>
          <w:rFonts w:ascii="仿宋" w:eastAsia="仿宋" w:hAnsi="仿宋" w:cs="仿宋" w:hint="eastAsia"/>
          <w:bCs/>
          <w:sz w:val="34"/>
          <w:szCs w:val="34"/>
        </w:rPr>
        <w:lastRenderedPageBreak/>
        <w:t>党员的党性观念和组织纪律性。2024年各支部扎实落实医院党委部署，创新开展主题学习与党建联建活动20余次。研究生第一党支部表现突出，荣获院级“一支部一品牌”重点项目立项，成为党建示范先锋，充分发挥了党支部的战斗堡垒作用。</w:t>
      </w:r>
    </w:p>
    <w:p w:rsidR="00BF514A" w:rsidRPr="00BF514A" w:rsidRDefault="00BF514A" w:rsidP="00BF514A">
      <w:pPr>
        <w:pStyle w:val="3"/>
        <w:ind w:firstLine="680"/>
        <w:rPr>
          <w:rFonts w:ascii="仿宋" w:eastAsia="仿宋" w:hAnsi="仿宋" w:cs="仿宋"/>
          <w:bCs/>
          <w:sz w:val="34"/>
          <w:szCs w:val="34"/>
        </w:rPr>
      </w:pPr>
      <w:r w:rsidRPr="00BF514A">
        <w:rPr>
          <w:rFonts w:ascii="仿宋" w:eastAsia="仿宋" w:hAnsi="仿宋" w:cs="仿宋" w:hint="eastAsia"/>
          <w:bCs/>
          <w:sz w:val="34"/>
          <w:szCs w:val="34"/>
        </w:rPr>
        <w:t>持续深化思想政治教育：将思想政治教育融入研究生培养的全过程，通过课堂教学、实践活动、网络教育等多种形式，加强马克思主义理论教育和党的路线方针政策教育。加强医德医风教育，引导研究生树立正确的世界观、人生观和价值观，培养良好的职业道德和职业素养。</w:t>
      </w:r>
    </w:p>
    <w:p w:rsidR="00BF514A" w:rsidRPr="00BF514A" w:rsidRDefault="00BF514A" w:rsidP="00BF514A">
      <w:pPr>
        <w:pStyle w:val="3"/>
        <w:ind w:firstLine="680"/>
        <w:rPr>
          <w:rFonts w:ascii="仿宋" w:eastAsia="仿宋" w:hAnsi="仿宋" w:cs="仿宋"/>
          <w:bCs/>
          <w:sz w:val="34"/>
          <w:szCs w:val="34"/>
        </w:rPr>
      </w:pPr>
      <w:r w:rsidRPr="00BF514A">
        <w:rPr>
          <w:rFonts w:ascii="仿宋" w:eastAsia="仿宋" w:hAnsi="仿宋" w:cs="仿宋" w:hint="eastAsia"/>
          <w:bCs/>
          <w:sz w:val="34"/>
          <w:szCs w:val="34"/>
        </w:rPr>
        <w:t>加强骨干培养与队伍建设：重视研究生党支部书记和党员骨干的培养，通过培训、交流、实践等方式，提高政治素质、业务能力和工作水平。建立完善的激励机制，对在党建和思政工作中表现突出的个人和集体给予表彰和奖励。</w:t>
      </w:r>
    </w:p>
    <w:p w:rsidR="00BF514A" w:rsidRDefault="00BF514A" w:rsidP="00BF514A">
      <w:pPr>
        <w:pStyle w:val="3"/>
        <w:ind w:firstLine="680"/>
        <w:rPr>
          <w:rFonts w:ascii="仿宋" w:eastAsia="仿宋" w:hAnsi="仿宋" w:cs="仿宋"/>
          <w:bCs/>
          <w:sz w:val="34"/>
          <w:szCs w:val="34"/>
        </w:rPr>
      </w:pPr>
      <w:r w:rsidRPr="00BF514A">
        <w:rPr>
          <w:rFonts w:ascii="仿宋" w:eastAsia="仿宋" w:hAnsi="仿宋" w:cs="仿宋" w:hint="eastAsia"/>
          <w:bCs/>
          <w:sz w:val="34"/>
          <w:szCs w:val="34"/>
        </w:rPr>
        <w:t>抓好党建带团建创新工作：研究生团员共1169人，设有46个团支部。各团支部能按时完成学校团委任务，积极组织学生参与每周青年大学习，完成“两优一先”评比工作，通过党团共建，有效引领学生坚定理想信念，勇担时代使命。</w:t>
      </w:r>
    </w:p>
    <w:p w:rsidR="00B1111D" w:rsidRDefault="001C004B" w:rsidP="00BF514A">
      <w:pPr>
        <w:pStyle w:val="3"/>
        <w:rPr>
          <w:rStyle w:val="NormalCharacter"/>
          <w:rFonts w:ascii="黑体" w:eastAsia="黑体" w:hAnsi="黑体" w:cs="黑体"/>
          <w:color w:val="auto"/>
          <w:szCs w:val="32"/>
        </w:rPr>
      </w:pPr>
      <w:r>
        <w:rPr>
          <w:rStyle w:val="NormalCharacter"/>
          <w:rFonts w:ascii="黑体" w:eastAsia="黑体" w:hAnsi="黑体" w:cs="黑体" w:hint="eastAsia"/>
          <w:color w:val="auto"/>
          <w:szCs w:val="32"/>
        </w:rPr>
        <w:t>三、</w:t>
      </w:r>
      <w:r>
        <w:rPr>
          <w:rFonts w:cs="黑体" w:hint="eastAsia"/>
          <w:color w:val="auto"/>
        </w:rPr>
        <w:t>研究生培养相关制度及执行情况</w:t>
      </w:r>
      <w:bookmarkEnd w:id="14"/>
    </w:p>
    <w:p w:rsidR="00B1111D" w:rsidRDefault="001C004B">
      <w:pPr>
        <w:pStyle w:val="2"/>
        <w:keepNext w:val="0"/>
        <w:keepLines w:val="0"/>
        <w:spacing w:line="600" w:lineRule="exact"/>
        <w:ind w:firstLineChars="200" w:firstLine="640"/>
        <w:jc w:val="both"/>
        <w:rPr>
          <w:rStyle w:val="NormalCharacter"/>
          <w:rFonts w:ascii="楷体" w:eastAsia="楷体" w:hAnsi="楷体" w:cs="楷体"/>
          <w:b w:val="0"/>
          <w:szCs w:val="32"/>
        </w:rPr>
      </w:pPr>
      <w:bookmarkStart w:id="15" w:name="_Toc1861"/>
      <w:r>
        <w:rPr>
          <w:rStyle w:val="NormalCharacter"/>
          <w:rFonts w:ascii="楷体" w:eastAsia="楷体" w:hAnsi="楷体" w:cs="楷体" w:hint="eastAsia"/>
          <w:b w:val="0"/>
          <w:szCs w:val="32"/>
        </w:rPr>
        <w:t>（一）课程建设与实施情况</w:t>
      </w:r>
      <w:bookmarkEnd w:id="15"/>
    </w:p>
    <w:p w:rsidR="00B1111D" w:rsidRDefault="001C004B">
      <w:pPr>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lastRenderedPageBreak/>
        <w:t>学位点实行学分制，学位论文答辩前应修满24学分，课程学习学分要求至少19学分。</w:t>
      </w:r>
    </w:p>
    <w:p w:rsidR="00B1111D" w:rsidRDefault="001C004B">
      <w:pPr>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学位点以课程思政为抓手，推进教学理念变革：坚持以习近平新时代中国特色社会主义思想为指导，挖掘专业课程中蕴含的深邃思想与精神内涵，科学设计思政教学体系，将课程思政融入教学全过程，促进学生核心价值观的塑造与知识传授和能力培养同向同行。</w:t>
      </w:r>
    </w:p>
    <w:p w:rsidR="00B1111D" w:rsidRDefault="001C004B">
      <w:pPr>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以精品课程、网络教学为依托，改进教学方法：上线《呼吸内科学》《医学影像学进展》等省级精品课程，在建三门校级精品课程，充分应用在线教育资源开展线上线下融合式教学。在实践教学中建立基于器官系统和临床案例的整合式教学模式，运用CBL、PBL等多种教学方法培养学生的学习能力、批判性思维、沟通能力和团队合作精神。</w:t>
      </w:r>
    </w:p>
    <w:p w:rsidR="00B1111D" w:rsidRDefault="001C004B">
      <w:pPr>
        <w:pStyle w:val="2"/>
        <w:keepNext w:val="0"/>
        <w:keepLines w:val="0"/>
        <w:spacing w:line="600" w:lineRule="exact"/>
        <w:ind w:firstLineChars="200" w:firstLine="640"/>
        <w:jc w:val="both"/>
        <w:rPr>
          <w:rStyle w:val="NormalCharacter"/>
          <w:rFonts w:ascii="楷体" w:eastAsia="楷体" w:hAnsi="楷体" w:cs="楷体"/>
          <w:b w:val="0"/>
          <w:szCs w:val="32"/>
        </w:rPr>
      </w:pPr>
      <w:bookmarkStart w:id="16" w:name="_Toc23757"/>
      <w:r>
        <w:rPr>
          <w:rStyle w:val="NormalCharacter"/>
          <w:rFonts w:ascii="楷体" w:eastAsia="楷体" w:hAnsi="楷体" w:cs="楷体" w:hint="eastAsia"/>
          <w:b w:val="0"/>
          <w:szCs w:val="32"/>
        </w:rPr>
        <w:t>（二）导师选拔</w:t>
      </w:r>
      <w:bookmarkEnd w:id="16"/>
    </w:p>
    <w:p w:rsidR="00B1111D" w:rsidRDefault="001C004B">
      <w:pPr>
        <w:spacing w:line="600" w:lineRule="exact"/>
        <w:ind w:firstLineChars="200" w:firstLine="680"/>
        <w:rPr>
          <w:rStyle w:val="NormalCharacter"/>
          <w:rFonts w:ascii="仿宋" w:eastAsia="仿宋" w:hAnsi="仿宋" w:cs="仿宋"/>
          <w:sz w:val="34"/>
          <w:szCs w:val="34"/>
        </w:rPr>
      </w:pPr>
      <w:r>
        <w:rPr>
          <w:rFonts w:ascii="仿宋" w:eastAsia="仿宋" w:hAnsi="仿宋" w:cs="仿宋" w:hint="eastAsia"/>
          <w:sz w:val="34"/>
          <w:szCs w:val="34"/>
        </w:rPr>
        <w:t>研究生导师遴选。学位点为加强研究生指导教师队伍建设、提高队伍活力，促进学科建设和研究生教育高质量发展，每年会定期开展研究生指导教师遴选工作。参照</w:t>
      </w:r>
      <w:r w:rsidR="007D0A69" w:rsidRPr="007D0A69">
        <w:rPr>
          <w:rFonts w:ascii="仿宋" w:eastAsia="仿宋" w:hAnsi="仿宋" w:cs="仿宋" w:hint="eastAsia"/>
          <w:sz w:val="34"/>
          <w:szCs w:val="34"/>
        </w:rPr>
        <w:t>《大连医科大学学术学位博士研究生指导教师遴选办法》</w:t>
      </w:r>
      <w:r w:rsidR="007D0A69">
        <w:rPr>
          <w:rFonts w:ascii="仿宋" w:eastAsia="仿宋" w:hAnsi="仿宋" w:cs="仿宋" w:hint="eastAsia"/>
          <w:sz w:val="34"/>
          <w:szCs w:val="34"/>
        </w:rPr>
        <w:t>（大医发〔2024〕173号）和</w:t>
      </w:r>
      <w:r>
        <w:rPr>
          <w:rFonts w:ascii="仿宋" w:eastAsia="仿宋" w:hAnsi="仿宋" w:cs="仿宋" w:hint="eastAsia"/>
          <w:sz w:val="34"/>
          <w:szCs w:val="34"/>
        </w:rPr>
        <w:t>《大连医科大学硕士研究生指导教师遴选办法》（大医发〔202</w:t>
      </w:r>
      <w:r w:rsidR="007750DB">
        <w:rPr>
          <w:rFonts w:ascii="仿宋" w:eastAsia="仿宋" w:hAnsi="仿宋" w:cs="仿宋" w:hint="eastAsia"/>
          <w:sz w:val="34"/>
          <w:szCs w:val="34"/>
        </w:rPr>
        <w:t>3</w:t>
      </w:r>
      <w:r>
        <w:rPr>
          <w:rFonts w:ascii="仿宋" w:eastAsia="仿宋" w:hAnsi="仿宋" w:cs="仿宋" w:hint="eastAsia"/>
          <w:sz w:val="34"/>
          <w:szCs w:val="34"/>
        </w:rPr>
        <w:t>〕9</w:t>
      </w:r>
      <w:r w:rsidR="007750DB">
        <w:rPr>
          <w:rFonts w:ascii="仿宋" w:eastAsia="仿宋" w:hAnsi="仿宋" w:cs="仿宋" w:hint="eastAsia"/>
          <w:sz w:val="34"/>
          <w:szCs w:val="34"/>
        </w:rPr>
        <w:t>8</w:t>
      </w:r>
      <w:r>
        <w:rPr>
          <w:rFonts w:ascii="仿宋" w:eastAsia="仿宋" w:hAnsi="仿宋" w:cs="仿宋" w:hint="eastAsia"/>
          <w:sz w:val="34"/>
          <w:szCs w:val="34"/>
        </w:rPr>
        <w:t>号）文件的要求，在导师品德、学历、职称、科研等方面有明确的规定，遴选优秀的骨干教师为研究生导师。</w:t>
      </w:r>
    </w:p>
    <w:p w:rsidR="00B1111D" w:rsidRDefault="001C004B">
      <w:pPr>
        <w:spacing w:line="600" w:lineRule="exact"/>
        <w:ind w:firstLineChars="200" w:firstLine="680"/>
        <w:rPr>
          <w:rStyle w:val="NormalCharacter"/>
          <w:rFonts w:ascii="仿宋" w:eastAsia="仿宋" w:hAnsi="仿宋" w:cs="仿宋"/>
          <w:sz w:val="34"/>
          <w:szCs w:val="34"/>
        </w:rPr>
      </w:pPr>
      <w:r>
        <w:rPr>
          <w:rFonts w:ascii="仿宋" w:eastAsia="仿宋" w:hAnsi="仿宋" w:cs="仿宋" w:hint="eastAsia"/>
          <w:sz w:val="34"/>
          <w:szCs w:val="34"/>
        </w:rPr>
        <w:lastRenderedPageBreak/>
        <w:t>每年组织针对新遴选的导师的培训，通过团队指导学生的方式，由具有丰富指导经验的导师帮助青年导师尽快成长。同时每年要对在岗导师进行培训，让学院的导师了解研究生教育政策法规、培养环节等方面的制度制定和修改，加强导师管理，便于更好地指导学生。</w:t>
      </w:r>
    </w:p>
    <w:p w:rsidR="00B1111D" w:rsidRDefault="001C004B">
      <w:pPr>
        <w:pStyle w:val="3"/>
        <w:ind w:firstLine="680"/>
        <w:rPr>
          <w:rFonts w:ascii="仿宋" w:eastAsia="仿宋" w:hAnsi="仿宋" w:cs="仿宋"/>
          <w:sz w:val="34"/>
          <w:szCs w:val="34"/>
        </w:rPr>
      </w:pPr>
      <w:r>
        <w:rPr>
          <w:rFonts w:ascii="仿宋" w:eastAsia="仿宋" w:hAnsi="仿宋" w:cs="仿宋" w:hint="eastAsia"/>
          <w:sz w:val="34"/>
          <w:szCs w:val="34"/>
        </w:rPr>
        <w:t>研究生导师复核及考评。学位点为落实立德树人根本任务，坚持学术诚信，激发导师队伍活力，建设高素质、专业化、创新型的新时代导师队伍，进一步提高研究生培养质量，根据《大连医科大学研究生指导教师复审工作管理办法（修订）》（大医发〔2019〕298号）《大连医科大学全面落实研究生导师立德树人职责的实施细则（试行）要求》（大医发〔2018〕49号）等文件要求，严格对研究生导师定期进行复审和立德树人考评。导师遴选后三年进行一次复审、每年进行一次立德树人考评工作，复审不通过、考评不通过者取消招生资格。通过复审及考评，动态调整导师招生资格，进一步深化新时代导师队伍建设，推动高层次创新人才培养及学校学科建设。</w:t>
      </w:r>
      <w:r>
        <w:rPr>
          <w:rFonts w:ascii="仿宋" w:eastAsia="仿宋" w:hAnsi="仿宋" w:cs="仿宋" w:hint="eastAsia"/>
          <w:bCs/>
        </w:rPr>
        <w:t>重点培养年轻导师指导学生的能力</w:t>
      </w:r>
      <w:r>
        <w:rPr>
          <w:rFonts w:ascii="仿宋" w:eastAsia="仿宋" w:hAnsi="仿宋" w:cs="仿宋" w:hint="eastAsia"/>
          <w:sz w:val="34"/>
          <w:szCs w:val="34"/>
        </w:rPr>
        <w:t>，提升导师团队竞争力。</w:t>
      </w:r>
    </w:p>
    <w:p w:rsidR="00B1111D" w:rsidRDefault="001C004B">
      <w:pPr>
        <w:pStyle w:val="2"/>
        <w:keepNext w:val="0"/>
        <w:keepLines w:val="0"/>
        <w:spacing w:line="600" w:lineRule="exact"/>
        <w:ind w:firstLineChars="200" w:firstLine="640"/>
        <w:jc w:val="both"/>
        <w:rPr>
          <w:rStyle w:val="NormalCharacter"/>
          <w:rFonts w:ascii="楷体" w:eastAsia="楷体" w:hAnsi="楷体" w:cs="楷体"/>
          <w:b w:val="0"/>
          <w:szCs w:val="32"/>
        </w:rPr>
      </w:pPr>
      <w:bookmarkStart w:id="17" w:name="_Toc11644"/>
      <w:r>
        <w:rPr>
          <w:rStyle w:val="NormalCharacter"/>
          <w:rFonts w:ascii="楷体" w:eastAsia="楷体" w:hAnsi="楷体" w:cs="楷体" w:hint="eastAsia"/>
          <w:b w:val="0"/>
          <w:szCs w:val="32"/>
        </w:rPr>
        <w:t>（三）师德师风建设情况</w:t>
      </w:r>
      <w:bookmarkEnd w:id="17"/>
    </w:p>
    <w:p w:rsidR="00B1111D" w:rsidRDefault="001C004B">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贯彻落实习近平总书记关于师德师风建设的重要指示精神，将其作为教师队伍建设的首要任务，出台工作细则，健全长效机制，实现师德师风建设与立德树人根</w:t>
      </w:r>
      <w:r>
        <w:rPr>
          <w:rFonts w:ascii="仿宋" w:eastAsia="仿宋" w:hAnsi="仿宋" w:cs="仿宋" w:hint="eastAsia"/>
          <w:sz w:val="34"/>
          <w:szCs w:val="34"/>
        </w:rPr>
        <w:lastRenderedPageBreak/>
        <w:t>本任务的有机结合。</w:t>
      </w:r>
    </w:p>
    <w:p w:rsidR="00B1111D" w:rsidRDefault="001C004B">
      <w:pPr>
        <w:adjustRightInd w:val="0"/>
        <w:snapToGrid w:val="0"/>
        <w:spacing w:line="600" w:lineRule="exact"/>
        <w:ind w:firstLineChars="200" w:firstLine="680"/>
        <w:rPr>
          <w:rFonts w:ascii="仿宋" w:eastAsia="仿宋" w:hAnsi="仿宋" w:cs="仿宋"/>
          <w:color w:val="000000"/>
          <w:sz w:val="34"/>
          <w:szCs w:val="34"/>
        </w:rPr>
      </w:pPr>
      <w:r>
        <w:rPr>
          <w:rFonts w:ascii="仿宋" w:eastAsia="仿宋" w:hAnsi="仿宋" w:cs="仿宋" w:hint="eastAsia"/>
          <w:color w:val="000000"/>
          <w:sz w:val="34"/>
          <w:szCs w:val="34"/>
        </w:rPr>
        <w:t>学位点健全完善规章制度，推进师德师风体系建设；开展经常性教育培训，不断夯实思想基础；完善监督考核机制，强化考评结果运用；注重先进典型选树，切实发挥示范引领作用。</w:t>
      </w:r>
    </w:p>
    <w:p w:rsidR="00B1111D" w:rsidRDefault="001C004B">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color w:val="000000"/>
          <w:sz w:val="34"/>
          <w:szCs w:val="34"/>
        </w:rPr>
        <w:t>落实《新时代高校教师职业行为十项准则》，构建齐抓共管师德师风的工作体系。制定《教师师德失范行为负面清单及处理办法》《学术道德规范管理办法》《关于全面落实研究生导师立德树人职责的实施细则》等一系列规章制度，树立导师是</w:t>
      </w:r>
      <w:r>
        <w:rPr>
          <w:rFonts w:ascii="仿宋" w:eastAsia="仿宋" w:hAnsi="仿宋" w:cs="仿宋" w:hint="eastAsia"/>
          <w:sz w:val="34"/>
          <w:szCs w:val="34"/>
        </w:rPr>
        <w:t>研究生培养的第一责任人的职责意识，将立德树人贯穿教学、科研、人才培养全过程。</w:t>
      </w:r>
    </w:p>
    <w:p w:rsidR="00B1111D" w:rsidRDefault="001C004B">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深入贯彻落实立德树人根本任务，组织教师学习习近平总书记在全国高校思想政治工作会议以及全国教育大会上的重要讲话精神，研读《教育部关于建立健全高校师德建设长效机制的意见》，开展学术道德培训、医德医风培训及新教师岗前培训，引导教师践行社会主义核心价值观，自觉坚守精神家园，以自己的模范行为影响和带动学生。</w:t>
      </w:r>
    </w:p>
    <w:p w:rsidR="00B1111D" w:rsidRDefault="001C004B">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建立实时监督考核机制，制定年度研究生指导教师立德树人职责考评工作计划，将思政教育、学术诚信、培养过程、论文质量及指导就业等方面作为考核主要内容，将考评结果与培养津贴及招生计划相挂钩，并作为</w:t>
      </w:r>
      <w:r>
        <w:rPr>
          <w:rFonts w:ascii="仿宋" w:eastAsia="仿宋" w:hAnsi="仿宋" w:cs="仿宋" w:hint="eastAsia"/>
          <w:sz w:val="34"/>
          <w:szCs w:val="34"/>
        </w:rPr>
        <w:lastRenderedPageBreak/>
        <w:t>人才引进、职称评定、职务晋升、绩效分配和评优评先重要依据。</w:t>
      </w:r>
    </w:p>
    <w:p w:rsidR="00B1111D" w:rsidRDefault="001C004B">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规范导师遴选和复审机制，严格实行师德“一票否决制”，引导教师切实履行主体责任，厚植爱国主义情怀，守好讲台主阵地。重视先进典型的模范引领和榜样示范作用，通过遴选“优秀教师”“教学名师”“首席技能培训教师”“优秀学科带头人”等方式树立优秀典型。</w:t>
      </w:r>
    </w:p>
    <w:p w:rsidR="00B1111D" w:rsidRDefault="001C004B">
      <w:pPr>
        <w:pStyle w:val="2"/>
        <w:keepNext w:val="0"/>
        <w:keepLines w:val="0"/>
        <w:spacing w:line="600" w:lineRule="exact"/>
        <w:ind w:firstLineChars="200" w:firstLine="640"/>
        <w:rPr>
          <w:rStyle w:val="NormalCharacter"/>
          <w:rFonts w:ascii="楷体" w:eastAsia="楷体" w:hAnsi="楷体" w:cs="楷体"/>
          <w:b w:val="0"/>
          <w:szCs w:val="32"/>
        </w:rPr>
      </w:pPr>
      <w:bookmarkStart w:id="18" w:name="_Toc32522"/>
      <w:r>
        <w:rPr>
          <w:rStyle w:val="NormalCharacter"/>
          <w:rFonts w:ascii="楷体" w:eastAsia="楷体" w:hAnsi="楷体" w:cs="楷体" w:hint="eastAsia"/>
          <w:b w:val="0"/>
          <w:szCs w:val="32"/>
        </w:rPr>
        <w:t>（四）学术训练</w:t>
      </w:r>
      <w:bookmarkEnd w:id="18"/>
    </w:p>
    <w:p w:rsidR="00B1111D" w:rsidRDefault="001C004B">
      <w:pPr>
        <w:adjustRightInd w:val="0"/>
        <w:snapToGrid w:val="0"/>
        <w:spacing w:line="600" w:lineRule="exact"/>
        <w:ind w:firstLineChars="200" w:firstLine="680"/>
        <w:outlineLvl w:val="1"/>
        <w:rPr>
          <w:rFonts w:ascii="仿宋" w:eastAsia="仿宋" w:hAnsi="仿宋" w:cs="仿宋"/>
          <w:sz w:val="34"/>
          <w:szCs w:val="34"/>
        </w:rPr>
      </w:pPr>
      <w:bookmarkStart w:id="19" w:name="_Toc24082"/>
      <w:bookmarkStart w:id="20" w:name="_Toc22848"/>
      <w:r>
        <w:rPr>
          <w:rFonts w:ascii="仿宋" w:eastAsia="仿宋" w:hAnsi="仿宋" w:cs="仿宋" w:hint="eastAsia"/>
          <w:sz w:val="34"/>
          <w:szCs w:val="34"/>
        </w:rPr>
        <w:t>学术训练按照《大连医科大学关于研究生参加学术活动的规定》执行，由院系对学术活动完成情况进行检查，博士研究生在读期间参加至少8次学术活动，其中学术讲座不少于7次，学术报告不少于1次。开展多种形式的学术训练，通过学术交流活动拓宽研究生视野、活跃思想，激发科研热情，推动自身科学研究水平的提升和发展。鼓励并要求全日制博士、硕士研究生积极参与学术训练，利用信息化教学管理手段，实现研究生参加学术活动、主讲学术报告随时可在系统提交，导师、院系即时审核并依据审核结果赋予学分，学术训练情况作为毕业生学业成绩审核的内容之一，推进研究生学术训练由数量向质量转化。</w:t>
      </w:r>
      <w:bookmarkEnd w:id="19"/>
      <w:bookmarkEnd w:id="20"/>
    </w:p>
    <w:p w:rsidR="00B1111D" w:rsidRDefault="001C004B">
      <w:pPr>
        <w:adjustRightInd w:val="0"/>
        <w:snapToGrid w:val="0"/>
        <w:spacing w:line="600" w:lineRule="exact"/>
        <w:ind w:firstLineChars="200" w:firstLine="640"/>
        <w:outlineLvl w:val="1"/>
        <w:rPr>
          <w:rFonts w:ascii="仿宋" w:eastAsia="仿宋" w:hAnsi="仿宋" w:cs="仿宋"/>
          <w:sz w:val="34"/>
          <w:szCs w:val="34"/>
        </w:rPr>
      </w:pPr>
      <w:bookmarkStart w:id="21" w:name="_Toc20717"/>
      <w:r>
        <w:rPr>
          <w:rStyle w:val="NormalCharacter"/>
          <w:rFonts w:ascii="楷体" w:eastAsia="楷体" w:hAnsi="楷体" w:cs="楷体" w:hint="eastAsia"/>
          <w:szCs w:val="32"/>
        </w:rPr>
        <w:t>（五）学术交流提升</w:t>
      </w:r>
      <w:r>
        <w:rPr>
          <w:rFonts w:ascii="楷体" w:eastAsia="楷体" w:hAnsi="楷体" w:cs="楷体" w:hint="eastAsia"/>
          <w:szCs w:val="32"/>
        </w:rPr>
        <w:t>科研创新能力</w:t>
      </w:r>
      <w:bookmarkEnd w:id="21"/>
    </w:p>
    <w:p w:rsidR="00B1111D" w:rsidRDefault="001C004B">
      <w:pPr>
        <w:adjustRightInd w:val="0"/>
        <w:snapToGrid w:val="0"/>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将科研活动与人才培养深度融合，开展科研伦理培训与国际论文写作等课程，举办院士讲座、名家论坛拓</w:t>
      </w:r>
      <w:r>
        <w:rPr>
          <w:rFonts w:ascii="仿宋" w:eastAsia="仿宋" w:hAnsi="仿宋" w:cs="仿宋" w:hint="eastAsia"/>
          <w:sz w:val="34"/>
          <w:szCs w:val="34"/>
        </w:rPr>
        <w:lastRenderedPageBreak/>
        <w:t>宽研究生学术视野，依托辽宁省研究生创新与学术交流中心等平台开展学术交流，通过国际产学研计划、公派留学、联合培养等方式提升科研创新能力。</w:t>
      </w:r>
    </w:p>
    <w:p w:rsidR="00B1111D" w:rsidRDefault="001C004B">
      <w:pPr>
        <w:adjustRightInd w:val="0"/>
        <w:snapToGrid w:val="0"/>
        <w:spacing w:line="600" w:lineRule="exact"/>
        <w:ind w:firstLineChars="200" w:firstLine="640"/>
        <w:rPr>
          <w:rFonts w:ascii="仿宋" w:eastAsia="仿宋" w:hAnsi="仿宋" w:cs="仿宋"/>
          <w:bCs/>
          <w:szCs w:val="32"/>
        </w:rPr>
      </w:pPr>
      <w:r>
        <w:rPr>
          <w:rFonts w:ascii="仿宋" w:eastAsia="仿宋" w:hAnsi="仿宋" w:cs="仿宋" w:hint="eastAsia"/>
          <w:bCs/>
          <w:szCs w:val="32"/>
        </w:rPr>
        <w:t>充分发挥导师学术影响力和学术地位，为研究生搭建国内、国外联合培养平台；通过导师国内外进修建立与各大顶级医院的联系，拓宽联合培养平台；通过访企拓岗加强医院与医院之间的合作沟通，为学生临床实践、科研、就业争取更多的机会。</w:t>
      </w:r>
    </w:p>
    <w:p w:rsidR="00B1111D" w:rsidRDefault="001C004B">
      <w:pPr>
        <w:pStyle w:val="3"/>
        <w:ind w:firstLine="680"/>
        <w:rPr>
          <w:rFonts w:ascii="仿宋" w:eastAsia="仿宋" w:hAnsi="仿宋" w:cs="仿宋"/>
          <w:sz w:val="34"/>
          <w:szCs w:val="34"/>
        </w:rPr>
      </w:pPr>
      <w:r>
        <w:rPr>
          <w:rFonts w:ascii="仿宋" w:eastAsia="仿宋" w:hAnsi="仿宋" w:cs="仿宋" w:hint="eastAsia"/>
          <w:color w:val="auto"/>
          <w:sz w:val="34"/>
          <w:szCs w:val="34"/>
        </w:rPr>
        <w:t>学位点积极开展人才柔性引进工作，针对人才特性实施人才引进及国际合作交流。两所直属附属医院先后与英国牛津大学、加拿大皇家内外科医师学院、美国霍普金斯医学院、英国基尔大学等先后成立了中美联合精准医学中心、中加急诊创伤救治联合培训中心、中美日间手术麻醉合作中心和中英软骨损伤治疗中心等。</w:t>
      </w:r>
    </w:p>
    <w:p w:rsidR="00B1111D" w:rsidRDefault="001C004B">
      <w:pPr>
        <w:pStyle w:val="2"/>
        <w:keepNext w:val="0"/>
        <w:keepLines w:val="0"/>
        <w:spacing w:line="600" w:lineRule="exact"/>
        <w:ind w:firstLineChars="200" w:firstLine="640"/>
        <w:jc w:val="both"/>
        <w:rPr>
          <w:rStyle w:val="NormalCharacter"/>
          <w:rFonts w:ascii="楷体" w:eastAsia="楷体" w:hAnsi="楷体" w:cs="楷体"/>
          <w:b w:val="0"/>
          <w:szCs w:val="32"/>
        </w:rPr>
      </w:pPr>
      <w:bookmarkStart w:id="22" w:name="_Toc15910"/>
      <w:r>
        <w:rPr>
          <w:rStyle w:val="NormalCharacter"/>
          <w:rFonts w:ascii="楷体" w:eastAsia="楷体" w:hAnsi="楷体" w:cs="楷体" w:hint="eastAsia"/>
          <w:b w:val="0"/>
          <w:szCs w:val="32"/>
        </w:rPr>
        <w:t>（六）研究生奖助情况</w:t>
      </w:r>
      <w:bookmarkEnd w:id="22"/>
    </w:p>
    <w:p w:rsidR="00FD275C" w:rsidRPr="00FD275C" w:rsidRDefault="00FD275C" w:rsidP="00FD275C">
      <w:pPr>
        <w:spacing w:line="600" w:lineRule="exact"/>
        <w:ind w:firstLineChars="200" w:firstLine="680"/>
        <w:rPr>
          <w:rFonts w:ascii="仿宋" w:eastAsia="仿宋" w:hAnsi="仿宋" w:cs="仿宋"/>
          <w:sz w:val="34"/>
          <w:szCs w:val="34"/>
        </w:rPr>
      </w:pPr>
      <w:bookmarkStart w:id="23" w:name="_Toc1068"/>
      <w:r w:rsidRPr="00FD275C">
        <w:rPr>
          <w:rFonts w:ascii="仿宋" w:eastAsia="仿宋" w:hAnsi="仿宋" w:cs="仿宋" w:hint="eastAsia"/>
          <w:sz w:val="34"/>
          <w:szCs w:val="34"/>
        </w:rPr>
        <w:t>学位点加大资助投入，建立激励与保障相结合的研究生奖助体系，为研究生提供多种形式的奖学金和助学金。</w:t>
      </w:r>
    </w:p>
    <w:p w:rsidR="004E3DFB" w:rsidRDefault="00FD275C" w:rsidP="00FD275C">
      <w:pPr>
        <w:spacing w:line="600" w:lineRule="exact"/>
        <w:ind w:firstLineChars="200" w:firstLine="680"/>
        <w:rPr>
          <w:rFonts w:ascii="仿宋" w:eastAsia="仿宋" w:hAnsi="仿宋" w:cs="仿宋"/>
          <w:sz w:val="34"/>
          <w:szCs w:val="34"/>
        </w:rPr>
      </w:pPr>
      <w:r w:rsidRPr="00FD275C">
        <w:rPr>
          <w:rFonts w:ascii="仿宋" w:eastAsia="仿宋" w:hAnsi="仿宋" w:cs="仿宋" w:hint="eastAsia"/>
          <w:sz w:val="34"/>
          <w:szCs w:val="34"/>
        </w:rPr>
        <w:t>2024年学位点秉持严谨公正原则，严格遵循政策，每月精准、足额发放研究生助学金，国家助学金发放500.87万元，共资助1571人次。高效组织各类奖学金评选，优中选优，国家奖学金发放68万元，共奖励32人；学业奖学金发放161.5万元，奖励328人。充分发</w:t>
      </w:r>
      <w:r w:rsidRPr="00FD275C">
        <w:rPr>
          <w:rFonts w:ascii="仿宋" w:eastAsia="仿宋" w:hAnsi="仿宋" w:cs="仿宋" w:hint="eastAsia"/>
          <w:sz w:val="34"/>
          <w:szCs w:val="34"/>
        </w:rPr>
        <w:lastRenderedPageBreak/>
        <w:t>挥奖助体系激励与保障双重效能，有力推动研究生教育公平发展。</w:t>
      </w:r>
    </w:p>
    <w:p w:rsidR="00B1111D" w:rsidRDefault="001C004B" w:rsidP="004E3DFB">
      <w:pPr>
        <w:spacing w:line="600" w:lineRule="exact"/>
        <w:ind w:firstLineChars="200" w:firstLine="640"/>
        <w:rPr>
          <w:rStyle w:val="NormalCharacter"/>
          <w:rFonts w:ascii="黑体" w:eastAsia="黑体" w:hAnsi="黑体" w:cs="黑体"/>
          <w:szCs w:val="32"/>
        </w:rPr>
      </w:pPr>
      <w:r>
        <w:rPr>
          <w:rStyle w:val="NormalCharacter"/>
          <w:rFonts w:ascii="黑体" w:eastAsia="黑体" w:hAnsi="黑体" w:cs="黑体" w:hint="eastAsia"/>
          <w:szCs w:val="32"/>
        </w:rPr>
        <w:t>四、</w:t>
      </w:r>
      <w:r>
        <w:rPr>
          <w:rFonts w:ascii="黑体" w:eastAsia="黑体" w:hAnsi="黑体" w:cs="黑体" w:hint="eastAsia"/>
          <w:szCs w:val="32"/>
        </w:rPr>
        <w:t>研究生教育改革情况</w:t>
      </w:r>
      <w:bookmarkEnd w:id="23"/>
    </w:p>
    <w:p w:rsidR="00B1111D" w:rsidRDefault="001C004B">
      <w:pPr>
        <w:pStyle w:val="3"/>
        <w:ind w:firstLine="680"/>
        <w:rPr>
          <w:rFonts w:ascii="仿宋" w:eastAsia="仿宋" w:hAnsi="仿宋" w:cs="仿宋"/>
          <w:color w:val="auto"/>
          <w:sz w:val="34"/>
          <w:szCs w:val="34"/>
        </w:rPr>
      </w:pPr>
      <w:r>
        <w:rPr>
          <w:rFonts w:ascii="仿宋" w:eastAsia="仿宋" w:hAnsi="仿宋" w:cs="仿宋" w:hint="eastAsia"/>
          <w:color w:val="auto"/>
          <w:sz w:val="34"/>
          <w:szCs w:val="34"/>
        </w:rPr>
        <w:t>学位点坚持以习近平新时代中国特色社会主义思想为指导，坚守“立德树人、为党育人、为国育才”初心使命，深化“三全育人”综合改革，以“十大育人”体系、“三季两点一社区”特色模式助推思想政治工作提质增效。紧紧围绕“立德树人”根本任务，培养医学科学精神与医学人文精神相结合、对传统医学与现代医学有深入了解，临床实践技能突出，具有较强医学研究能力、教学能力和国际化视野的高级创新型、应用型医学人才。</w:t>
      </w:r>
    </w:p>
    <w:p w:rsidR="00B1111D" w:rsidRDefault="001C004B">
      <w:pPr>
        <w:ind w:firstLineChars="200" w:firstLine="680"/>
        <w:rPr>
          <w:rFonts w:ascii="仿宋" w:eastAsia="仿宋" w:hAnsi="仿宋" w:cs="仿宋"/>
          <w:sz w:val="34"/>
          <w:szCs w:val="34"/>
        </w:rPr>
      </w:pPr>
      <w:r>
        <w:rPr>
          <w:rFonts w:ascii="仿宋" w:eastAsia="仿宋" w:hAnsi="仿宋" w:cs="仿宋" w:hint="eastAsia"/>
          <w:sz w:val="34"/>
          <w:szCs w:val="34"/>
        </w:rPr>
        <w:t>202</w:t>
      </w:r>
      <w:r w:rsidR="00326E78">
        <w:rPr>
          <w:rFonts w:ascii="仿宋" w:eastAsia="仿宋" w:hAnsi="仿宋" w:cs="仿宋" w:hint="eastAsia"/>
          <w:sz w:val="34"/>
          <w:szCs w:val="34"/>
        </w:rPr>
        <w:t>4</w:t>
      </w:r>
      <w:r>
        <w:rPr>
          <w:rFonts w:ascii="仿宋" w:eastAsia="仿宋" w:hAnsi="仿宋" w:cs="仿宋" w:hint="eastAsia"/>
          <w:sz w:val="34"/>
          <w:szCs w:val="34"/>
        </w:rPr>
        <w:t>年为提升人才培养质量，学位点</w:t>
      </w:r>
      <w:r w:rsidR="00326E78">
        <w:rPr>
          <w:rFonts w:ascii="仿宋" w:eastAsia="仿宋" w:hAnsi="仿宋" w:cs="仿宋" w:hint="eastAsia"/>
          <w:sz w:val="34"/>
          <w:szCs w:val="34"/>
        </w:rPr>
        <w:t>继续</w:t>
      </w:r>
      <w:r>
        <w:rPr>
          <w:rFonts w:ascii="仿宋" w:eastAsia="仿宋" w:hAnsi="仿宋" w:cs="仿宋" w:hint="eastAsia"/>
          <w:sz w:val="34"/>
          <w:szCs w:val="34"/>
        </w:rPr>
        <w:t>开展研究生学位论文质量提升计划：</w:t>
      </w:r>
      <w:r w:rsidR="00326E78">
        <w:rPr>
          <w:rFonts w:ascii="仿宋" w:eastAsia="仿宋" w:hAnsi="仿宋" w:cs="仿宋" w:hint="eastAsia"/>
          <w:sz w:val="34"/>
          <w:szCs w:val="34"/>
        </w:rPr>
        <w:t>在论文开题中增加统计学专家指导</w:t>
      </w:r>
      <w:r>
        <w:rPr>
          <w:rFonts w:ascii="仿宋" w:eastAsia="仿宋" w:hAnsi="仿宋" w:cs="仿宋" w:hint="eastAsia"/>
          <w:sz w:val="34"/>
          <w:szCs w:val="34"/>
        </w:rPr>
        <w:t>、毕业论文院内评审等多项措施。</w:t>
      </w:r>
    </w:p>
    <w:p w:rsidR="00B1111D" w:rsidRDefault="001C004B">
      <w:pPr>
        <w:ind w:firstLineChars="200" w:firstLine="680"/>
      </w:pPr>
      <w:r>
        <w:rPr>
          <w:rFonts w:ascii="仿宋" w:eastAsia="仿宋" w:hAnsi="仿宋" w:cs="仿宋" w:hint="eastAsia"/>
          <w:sz w:val="34"/>
          <w:szCs w:val="34"/>
        </w:rPr>
        <w:t>教师队伍建设中，不断发展优秀的青年教师加入导师队伍中，进一步加强青年导师的培养，从而提升导师团队的竞争力。</w:t>
      </w:r>
    </w:p>
    <w:p w:rsidR="00D64887" w:rsidRDefault="00D64887" w:rsidP="00D64887">
      <w:pPr>
        <w:spacing w:line="600" w:lineRule="exact"/>
        <w:ind w:firstLineChars="200" w:firstLine="680"/>
        <w:rPr>
          <w:rFonts w:ascii="仿宋" w:eastAsia="仿宋" w:hAnsi="仿宋" w:cs="仿宋"/>
          <w:sz w:val="34"/>
          <w:szCs w:val="34"/>
        </w:rPr>
      </w:pPr>
      <w:r w:rsidRPr="00D64887">
        <w:rPr>
          <w:rFonts w:ascii="仿宋" w:eastAsia="仿宋" w:hAnsi="仿宋" w:cs="仿宋" w:hint="eastAsia"/>
          <w:sz w:val="34"/>
          <w:szCs w:val="34"/>
        </w:rPr>
        <w:t>在传承创新优秀文化方面，学位点注重研究生的医学人文精神和实践能力的培养，建立了“传承”志愿服务队并持续壮大，400余名队员活跃一线，参与各类活动40场次。如雷锋月热血奉献，献血量高达43900毫</w:t>
      </w:r>
      <w:r w:rsidRPr="00D64887">
        <w:rPr>
          <w:rFonts w:ascii="仿宋" w:eastAsia="仿宋" w:hAnsi="仿宋" w:cs="仿宋" w:hint="eastAsia"/>
          <w:sz w:val="34"/>
          <w:szCs w:val="34"/>
        </w:rPr>
        <w:lastRenderedPageBreak/>
        <w:t>升；深入8个乡镇开展义诊，惠及群众2000余人；进校园、进企业、进乡镇开展各类应急救护宣传培训30余次，为大连市徒步大会、市直机关运动会等大型活动提供优质后勤保障。志愿服务品牌彰显，“传承”志愿服务队连续两年蝉联全国社会实践优秀团队殊荣，团队教师于辽宁省红十字系统职工职业技能大赛代表大连揽获团体一等奖、个人一等奖、三等奖及优秀奖，尽显专业实力与奉献精神，大幅提升社会声誉与影响力。</w:t>
      </w:r>
    </w:p>
    <w:p w:rsidR="00B1111D" w:rsidRDefault="001C004B" w:rsidP="00D64887">
      <w:pPr>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在教育教学改革研究工作方面，</w:t>
      </w:r>
      <w:r w:rsidR="004E3DFB">
        <w:rPr>
          <w:rFonts w:ascii="仿宋" w:eastAsia="仿宋" w:hAnsi="仿宋" w:cs="仿宋" w:hint="eastAsia"/>
          <w:sz w:val="34"/>
          <w:szCs w:val="34"/>
        </w:rPr>
        <w:t>2024年新</w:t>
      </w:r>
      <w:r>
        <w:rPr>
          <w:rFonts w:ascii="仿宋" w:eastAsia="仿宋" w:hAnsi="仿宋" w:cs="仿宋" w:hint="eastAsia"/>
          <w:sz w:val="34"/>
          <w:szCs w:val="34"/>
        </w:rPr>
        <w:t>获批省级研究生教改立项</w:t>
      </w:r>
      <w:r w:rsidR="004E3DFB">
        <w:rPr>
          <w:rFonts w:ascii="仿宋" w:eastAsia="仿宋" w:hAnsi="仿宋" w:cs="仿宋" w:hint="eastAsia"/>
          <w:sz w:val="34"/>
          <w:szCs w:val="34"/>
        </w:rPr>
        <w:t>2</w:t>
      </w:r>
      <w:r>
        <w:rPr>
          <w:rFonts w:ascii="仿宋" w:eastAsia="仿宋" w:hAnsi="仿宋" w:cs="仿宋" w:hint="eastAsia"/>
          <w:sz w:val="34"/>
          <w:szCs w:val="34"/>
        </w:rPr>
        <w:t>项。</w:t>
      </w:r>
    </w:p>
    <w:p w:rsidR="00B1111D" w:rsidRDefault="001C004B" w:rsidP="001C004B">
      <w:pPr>
        <w:pStyle w:val="3"/>
        <w:rPr>
          <w:rFonts w:cs="黑体"/>
          <w:color w:val="auto"/>
        </w:rPr>
      </w:pPr>
      <w:bookmarkStart w:id="24" w:name="_Toc10682"/>
      <w:r>
        <w:rPr>
          <w:rStyle w:val="NormalCharacter"/>
          <w:rFonts w:ascii="黑体" w:eastAsia="黑体" w:hAnsi="黑体" w:cs="黑体" w:hint="eastAsia"/>
          <w:color w:val="auto"/>
          <w:szCs w:val="32"/>
        </w:rPr>
        <w:t>五、</w:t>
      </w:r>
      <w:r>
        <w:rPr>
          <w:rFonts w:cs="黑体" w:hint="eastAsia"/>
          <w:color w:val="auto"/>
        </w:rPr>
        <w:t>教育质量评估与分析</w:t>
      </w:r>
      <w:bookmarkStart w:id="25" w:name="_Toc28008"/>
      <w:bookmarkStart w:id="26" w:name="_Toc1755"/>
      <w:bookmarkStart w:id="27" w:name="_Toc14425"/>
      <w:bookmarkEnd w:id="24"/>
    </w:p>
    <w:p w:rsidR="0079384D" w:rsidRPr="0079384D" w:rsidRDefault="0079384D" w:rsidP="0079384D">
      <w:pPr>
        <w:spacing w:line="600" w:lineRule="exact"/>
        <w:ind w:firstLineChars="200" w:firstLine="680"/>
        <w:rPr>
          <w:rFonts w:ascii="仿宋" w:eastAsia="仿宋" w:hAnsi="仿宋" w:cs="仿宋"/>
          <w:sz w:val="34"/>
          <w:szCs w:val="34"/>
        </w:rPr>
      </w:pPr>
      <w:r w:rsidRPr="0079384D">
        <w:rPr>
          <w:rFonts w:ascii="仿宋" w:eastAsia="仿宋" w:hAnsi="仿宋" w:cs="仿宋" w:hint="eastAsia"/>
          <w:sz w:val="34"/>
          <w:szCs w:val="34"/>
        </w:rPr>
        <w:t>（</w:t>
      </w:r>
      <w:r>
        <w:rPr>
          <w:rFonts w:ascii="仿宋" w:eastAsia="仿宋" w:hAnsi="仿宋" w:cs="仿宋" w:hint="eastAsia"/>
          <w:sz w:val="34"/>
          <w:szCs w:val="34"/>
        </w:rPr>
        <w:t>一</w:t>
      </w:r>
      <w:r w:rsidRPr="0079384D">
        <w:rPr>
          <w:rFonts w:ascii="仿宋" w:eastAsia="仿宋" w:hAnsi="仿宋" w:cs="仿宋" w:hint="eastAsia"/>
          <w:sz w:val="34"/>
          <w:szCs w:val="34"/>
        </w:rPr>
        <w:t>）师资队伍建设需进一步强化</w:t>
      </w:r>
    </w:p>
    <w:p w:rsidR="0079384D" w:rsidRPr="0079384D" w:rsidRDefault="0079384D" w:rsidP="0079384D">
      <w:pPr>
        <w:spacing w:line="600" w:lineRule="exact"/>
        <w:ind w:firstLineChars="200" w:firstLine="680"/>
        <w:rPr>
          <w:rFonts w:ascii="仿宋" w:eastAsia="仿宋" w:hAnsi="仿宋" w:cs="仿宋"/>
          <w:sz w:val="34"/>
          <w:szCs w:val="34"/>
        </w:rPr>
      </w:pPr>
      <w:r w:rsidRPr="0079384D">
        <w:rPr>
          <w:rFonts w:ascii="仿宋" w:eastAsia="仿宋" w:hAnsi="仿宋" w:cs="仿宋" w:hint="eastAsia"/>
          <w:sz w:val="34"/>
          <w:szCs w:val="34"/>
        </w:rPr>
        <w:t>临床医学学科导师数量多，师资队伍</w:t>
      </w:r>
      <w:r>
        <w:rPr>
          <w:rFonts w:ascii="仿宋" w:eastAsia="仿宋" w:hAnsi="仿宋" w:cs="仿宋" w:hint="eastAsia"/>
          <w:sz w:val="34"/>
          <w:szCs w:val="34"/>
        </w:rPr>
        <w:t>以</w:t>
      </w:r>
      <w:r w:rsidRPr="0079384D">
        <w:rPr>
          <w:rFonts w:ascii="仿宋" w:eastAsia="仿宋" w:hAnsi="仿宋" w:cs="仿宋" w:hint="eastAsia"/>
          <w:sz w:val="34"/>
          <w:szCs w:val="34"/>
        </w:rPr>
        <w:t>临床医生</w:t>
      </w:r>
      <w:r>
        <w:rPr>
          <w:rFonts w:ascii="仿宋" w:eastAsia="仿宋" w:hAnsi="仿宋" w:cs="仿宋" w:hint="eastAsia"/>
          <w:sz w:val="34"/>
          <w:szCs w:val="34"/>
        </w:rPr>
        <w:t>为主，</w:t>
      </w:r>
      <w:r w:rsidRPr="0079384D">
        <w:rPr>
          <w:rFonts w:ascii="仿宋" w:eastAsia="仿宋" w:hAnsi="仿宋" w:cs="仿宋" w:hint="eastAsia"/>
          <w:sz w:val="34"/>
          <w:szCs w:val="34"/>
        </w:rPr>
        <w:t>然而这些导师们需同时兼顾医疗救治、教学授课以及科研探索等多项任务，工作负荷较大。在人才培养方面，尽管已取得一定成果，但为了适应医学领域的快速发展以及社会对高质量医学人才的需求，仍需进一步</w:t>
      </w:r>
      <w:r w:rsidR="00A015E3">
        <w:rPr>
          <w:rFonts w:ascii="仿宋" w:eastAsia="仿宋" w:hAnsi="仿宋" w:cs="仿宋" w:hint="eastAsia"/>
          <w:sz w:val="34"/>
          <w:szCs w:val="34"/>
        </w:rPr>
        <w:t>探究，</w:t>
      </w:r>
      <w:r w:rsidRPr="0079384D">
        <w:rPr>
          <w:rFonts w:ascii="仿宋" w:eastAsia="仿宋" w:hAnsi="仿宋" w:cs="仿宋" w:hint="eastAsia"/>
          <w:sz w:val="34"/>
          <w:szCs w:val="34"/>
        </w:rPr>
        <w:t>持续优化人才培养模式。</w:t>
      </w:r>
    </w:p>
    <w:p w:rsidR="0079384D" w:rsidRPr="0079384D" w:rsidRDefault="0079384D" w:rsidP="0079384D">
      <w:pPr>
        <w:spacing w:line="600" w:lineRule="exact"/>
        <w:ind w:firstLineChars="200" w:firstLine="680"/>
        <w:rPr>
          <w:rFonts w:ascii="仿宋" w:eastAsia="仿宋" w:hAnsi="仿宋" w:cs="仿宋"/>
          <w:sz w:val="34"/>
          <w:szCs w:val="34"/>
        </w:rPr>
      </w:pPr>
      <w:r w:rsidRPr="0079384D">
        <w:rPr>
          <w:rFonts w:ascii="仿宋" w:eastAsia="仿宋" w:hAnsi="仿宋" w:cs="仿宋" w:hint="eastAsia"/>
          <w:sz w:val="34"/>
          <w:szCs w:val="34"/>
        </w:rPr>
        <w:t>（</w:t>
      </w:r>
      <w:r w:rsidR="00DB0562">
        <w:rPr>
          <w:rFonts w:ascii="仿宋" w:eastAsia="仿宋" w:hAnsi="仿宋" w:cs="仿宋" w:hint="eastAsia"/>
          <w:sz w:val="34"/>
          <w:szCs w:val="34"/>
        </w:rPr>
        <w:t>二</w:t>
      </w:r>
      <w:r w:rsidRPr="0079384D">
        <w:rPr>
          <w:rFonts w:ascii="仿宋" w:eastAsia="仿宋" w:hAnsi="仿宋" w:cs="仿宋" w:hint="eastAsia"/>
          <w:sz w:val="34"/>
          <w:szCs w:val="34"/>
        </w:rPr>
        <w:t>）生源</w:t>
      </w:r>
      <w:r w:rsidR="00DB0562">
        <w:rPr>
          <w:rFonts w:ascii="仿宋" w:eastAsia="仿宋" w:hAnsi="仿宋" w:cs="仿宋" w:hint="eastAsia"/>
          <w:sz w:val="34"/>
          <w:szCs w:val="34"/>
        </w:rPr>
        <w:t>质量</w:t>
      </w:r>
      <w:r w:rsidRPr="0079384D">
        <w:rPr>
          <w:rFonts w:ascii="仿宋" w:eastAsia="仿宋" w:hAnsi="仿宋" w:cs="仿宋" w:hint="eastAsia"/>
          <w:sz w:val="34"/>
          <w:szCs w:val="34"/>
        </w:rPr>
        <w:t>亟待</w:t>
      </w:r>
      <w:r w:rsidR="00DB0562">
        <w:rPr>
          <w:rFonts w:ascii="仿宋" w:eastAsia="仿宋" w:hAnsi="仿宋" w:cs="仿宋" w:hint="eastAsia"/>
          <w:sz w:val="34"/>
          <w:szCs w:val="34"/>
        </w:rPr>
        <w:t>提高</w:t>
      </w:r>
    </w:p>
    <w:p w:rsidR="00DB0562" w:rsidRDefault="00DB0562" w:rsidP="0079384D">
      <w:pPr>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t>应重点关注生源情况，</w:t>
      </w:r>
      <w:r w:rsidR="0079384D" w:rsidRPr="0079384D">
        <w:rPr>
          <w:rFonts w:ascii="仿宋" w:eastAsia="仿宋" w:hAnsi="仿宋" w:cs="仿宋" w:hint="eastAsia"/>
          <w:sz w:val="34"/>
          <w:szCs w:val="34"/>
        </w:rPr>
        <w:t>集中力量开展生源质量提升工程，力争优化生源质量，进一步吸纳</w:t>
      </w:r>
      <w:r>
        <w:rPr>
          <w:rFonts w:ascii="仿宋" w:eastAsia="仿宋" w:hAnsi="仿宋" w:cs="仿宋" w:hint="eastAsia"/>
          <w:sz w:val="34"/>
          <w:szCs w:val="34"/>
        </w:rPr>
        <w:t>优秀</w:t>
      </w:r>
      <w:r w:rsidR="0079384D" w:rsidRPr="0079384D">
        <w:rPr>
          <w:rFonts w:ascii="仿宋" w:eastAsia="仿宋" w:hAnsi="仿宋" w:cs="仿宋" w:hint="eastAsia"/>
          <w:sz w:val="34"/>
          <w:szCs w:val="34"/>
        </w:rPr>
        <w:t>院校考生，为研究生培养打好种子基础。</w:t>
      </w:r>
    </w:p>
    <w:p w:rsidR="0079384D" w:rsidRPr="0079384D" w:rsidRDefault="0079384D" w:rsidP="0079384D">
      <w:pPr>
        <w:spacing w:line="600" w:lineRule="exact"/>
        <w:ind w:firstLineChars="200" w:firstLine="680"/>
        <w:rPr>
          <w:rFonts w:ascii="仿宋" w:eastAsia="仿宋" w:hAnsi="仿宋" w:cs="仿宋"/>
          <w:sz w:val="34"/>
          <w:szCs w:val="34"/>
        </w:rPr>
      </w:pPr>
      <w:r w:rsidRPr="0079384D">
        <w:rPr>
          <w:rFonts w:ascii="仿宋" w:eastAsia="仿宋" w:hAnsi="仿宋" w:cs="仿宋" w:hint="eastAsia"/>
          <w:sz w:val="34"/>
          <w:szCs w:val="34"/>
        </w:rPr>
        <w:t>（</w:t>
      </w:r>
      <w:r w:rsidR="00DB0562">
        <w:rPr>
          <w:rFonts w:ascii="仿宋" w:eastAsia="仿宋" w:hAnsi="仿宋" w:cs="仿宋" w:hint="eastAsia"/>
          <w:sz w:val="34"/>
          <w:szCs w:val="34"/>
        </w:rPr>
        <w:t>三</w:t>
      </w:r>
      <w:r w:rsidRPr="0079384D">
        <w:rPr>
          <w:rFonts w:ascii="仿宋" w:eastAsia="仿宋" w:hAnsi="仿宋" w:cs="仿宋" w:hint="eastAsia"/>
          <w:sz w:val="34"/>
          <w:szCs w:val="34"/>
        </w:rPr>
        <w:t>）研究生毕业及学位质量监督体系待完善</w:t>
      </w:r>
    </w:p>
    <w:p w:rsidR="0079384D" w:rsidRPr="0079384D" w:rsidRDefault="00DB0562" w:rsidP="0079384D">
      <w:pPr>
        <w:spacing w:line="600" w:lineRule="exact"/>
        <w:ind w:firstLineChars="200" w:firstLine="680"/>
        <w:rPr>
          <w:rFonts w:ascii="仿宋" w:eastAsia="仿宋" w:hAnsi="仿宋" w:cs="仿宋"/>
          <w:sz w:val="34"/>
          <w:szCs w:val="34"/>
        </w:rPr>
      </w:pPr>
      <w:r>
        <w:rPr>
          <w:rFonts w:ascii="仿宋" w:eastAsia="仿宋" w:hAnsi="仿宋" w:cs="仿宋" w:hint="eastAsia"/>
          <w:sz w:val="34"/>
          <w:szCs w:val="34"/>
        </w:rPr>
        <w:lastRenderedPageBreak/>
        <w:t>随着</w:t>
      </w:r>
      <w:r w:rsidR="0079384D" w:rsidRPr="0079384D">
        <w:rPr>
          <w:rFonts w:ascii="仿宋" w:eastAsia="仿宋" w:hAnsi="仿宋" w:cs="仿宋" w:hint="eastAsia"/>
          <w:sz w:val="34"/>
          <w:szCs w:val="34"/>
        </w:rPr>
        <w:t>近年来我校研究生招生规模不断扩大，毕业研究生</w:t>
      </w:r>
      <w:r>
        <w:rPr>
          <w:rFonts w:ascii="仿宋" w:eastAsia="仿宋" w:hAnsi="仿宋" w:cs="仿宋" w:hint="eastAsia"/>
          <w:sz w:val="34"/>
          <w:szCs w:val="34"/>
        </w:rPr>
        <w:t>数量</w:t>
      </w:r>
      <w:r w:rsidR="0079384D" w:rsidRPr="0079384D">
        <w:rPr>
          <w:rFonts w:ascii="仿宋" w:eastAsia="仿宋" w:hAnsi="仿宋" w:cs="仿宋" w:hint="eastAsia"/>
          <w:sz w:val="34"/>
          <w:szCs w:val="34"/>
        </w:rPr>
        <w:t>翻倍，同时，延期毕业研究生、临近最长学制年限的学位预警研究生的绝对数量也逐年增多，研究生学位论文质量将面临较大挑战，如何保质保量完成毕业把控和学术把关，是本学位点必须面对的难题，急需提出保障和提升研究生学位论文质量的要求和举措。</w:t>
      </w:r>
    </w:p>
    <w:p w:rsidR="00B1111D" w:rsidRDefault="001C004B">
      <w:pPr>
        <w:autoSpaceDE w:val="0"/>
        <w:autoSpaceDN w:val="0"/>
        <w:adjustRightInd w:val="0"/>
        <w:spacing w:line="360" w:lineRule="auto"/>
        <w:ind w:firstLineChars="200" w:firstLine="680"/>
        <w:jc w:val="left"/>
        <w:outlineLvl w:val="0"/>
        <w:rPr>
          <w:rFonts w:ascii="黑体" w:eastAsia="黑体" w:hAnsi="黑体" w:cs="黑体"/>
          <w:kern w:val="0"/>
          <w:sz w:val="34"/>
          <w:szCs w:val="34"/>
        </w:rPr>
      </w:pPr>
      <w:bookmarkStart w:id="28" w:name="_Toc24387"/>
      <w:bookmarkEnd w:id="25"/>
      <w:bookmarkEnd w:id="26"/>
      <w:bookmarkEnd w:id="27"/>
      <w:r>
        <w:rPr>
          <w:rFonts w:ascii="黑体" w:eastAsia="黑体" w:hAnsi="黑体" w:cs="黑体" w:hint="eastAsia"/>
          <w:kern w:val="0"/>
          <w:sz w:val="34"/>
          <w:szCs w:val="34"/>
        </w:rPr>
        <w:t>六、改进措施</w:t>
      </w:r>
      <w:bookmarkEnd w:id="28"/>
    </w:p>
    <w:p w:rsidR="00B1111D" w:rsidRDefault="001C004B">
      <w:pPr>
        <w:autoSpaceDE w:val="0"/>
        <w:autoSpaceDN w:val="0"/>
        <w:adjustRightInd w:val="0"/>
        <w:spacing w:line="360" w:lineRule="auto"/>
        <w:ind w:firstLineChars="100" w:firstLine="341"/>
        <w:jc w:val="left"/>
        <w:outlineLvl w:val="1"/>
        <w:rPr>
          <w:rFonts w:ascii="仿宋" w:eastAsia="仿宋" w:hAnsi="仿宋" w:cstheme="minorEastAsia"/>
          <w:b/>
          <w:sz w:val="34"/>
          <w:szCs w:val="34"/>
        </w:rPr>
      </w:pPr>
      <w:bookmarkStart w:id="29" w:name="_Hlk123733123"/>
      <w:bookmarkStart w:id="30" w:name="_Toc4873"/>
      <w:r>
        <w:rPr>
          <w:rFonts w:ascii="仿宋" w:eastAsia="仿宋" w:hAnsi="仿宋" w:cstheme="minorEastAsia" w:hint="eastAsia"/>
          <w:b/>
          <w:sz w:val="34"/>
          <w:szCs w:val="34"/>
        </w:rPr>
        <w:t>（一）</w:t>
      </w:r>
      <w:r w:rsidR="006532A1">
        <w:rPr>
          <w:rFonts w:ascii="仿宋" w:eastAsia="仿宋" w:hAnsi="仿宋" w:cstheme="minorEastAsia" w:hint="eastAsia"/>
          <w:b/>
          <w:sz w:val="34"/>
          <w:szCs w:val="34"/>
        </w:rPr>
        <w:t>不断</w:t>
      </w:r>
      <w:r>
        <w:rPr>
          <w:rFonts w:ascii="仿宋" w:eastAsia="仿宋" w:hAnsi="仿宋" w:cstheme="minorEastAsia" w:hint="eastAsia"/>
          <w:b/>
          <w:sz w:val="34"/>
          <w:szCs w:val="34"/>
        </w:rPr>
        <w:t>加强师资队伍建设，提高研究生指导教师</w:t>
      </w:r>
      <w:bookmarkStart w:id="31" w:name="_GoBack"/>
      <w:bookmarkEnd w:id="31"/>
      <w:r>
        <w:rPr>
          <w:rFonts w:ascii="仿宋" w:eastAsia="仿宋" w:hAnsi="仿宋" w:cstheme="minorEastAsia" w:hint="eastAsia"/>
          <w:b/>
          <w:sz w:val="34"/>
          <w:szCs w:val="34"/>
        </w:rPr>
        <w:t>水平</w:t>
      </w:r>
      <w:bookmarkEnd w:id="29"/>
      <w:bookmarkEnd w:id="30"/>
    </w:p>
    <w:p w:rsidR="00B1111D" w:rsidRDefault="001C004B">
      <w:pPr>
        <w:autoSpaceDE w:val="0"/>
        <w:autoSpaceDN w:val="0"/>
        <w:adjustRightInd w:val="0"/>
        <w:spacing w:line="360" w:lineRule="auto"/>
        <w:ind w:firstLineChars="200" w:firstLine="680"/>
        <w:jc w:val="left"/>
        <w:rPr>
          <w:rFonts w:ascii="仿宋" w:eastAsia="仿宋" w:hAnsi="仿宋" w:cstheme="minorEastAsia"/>
          <w:bCs/>
          <w:sz w:val="34"/>
          <w:szCs w:val="34"/>
        </w:rPr>
      </w:pPr>
      <w:r>
        <w:rPr>
          <w:rFonts w:ascii="仿宋" w:eastAsia="仿宋" w:hAnsi="仿宋" w:cstheme="minorEastAsia" w:hint="eastAsia"/>
          <w:bCs/>
          <w:sz w:val="34"/>
          <w:szCs w:val="34"/>
        </w:rPr>
        <w:t>全面实施导师立德树人信息化考评，明确导师是研究生培养第一责任人，定期开展导师培训、复审和动态管理等，对失德失范行为采取一票否决制。将立德树人考核结果与导师津贴、招生计划、评先评优挂钩。加大人才引进和培育力度。注重师德师风内涵提升，鼓励导师爱岗敬业、献身教育，做到爱教育、爱学生，坚守“四个相统一”，做新时代“四有”好老师，当好学生的“四个引路人”。</w:t>
      </w:r>
    </w:p>
    <w:p w:rsidR="00B1111D" w:rsidRDefault="001C004B">
      <w:pPr>
        <w:autoSpaceDE w:val="0"/>
        <w:autoSpaceDN w:val="0"/>
        <w:adjustRightInd w:val="0"/>
        <w:spacing w:line="360" w:lineRule="auto"/>
        <w:ind w:firstLineChars="200" w:firstLine="683"/>
        <w:jc w:val="left"/>
        <w:outlineLvl w:val="1"/>
        <w:rPr>
          <w:rFonts w:ascii="仿宋" w:eastAsia="仿宋" w:hAnsi="仿宋" w:cstheme="minorEastAsia"/>
          <w:b/>
          <w:sz w:val="34"/>
          <w:szCs w:val="34"/>
        </w:rPr>
      </w:pPr>
      <w:bookmarkStart w:id="32" w:name="_Hlk123733156"/>
      <w:bookmarkStart w:id="33" w:name="_Toc2233"/>
      <w:r>
        <w:rPr>
          <w:rFonts w:ascii="仿宋" w:eastAsia="仿宋" w:hAnsi="仿宋" w:cstheme="minorEastAsia" w:hint="eastAsia"/>
          <w:b/>
          <w:sz w:val="34"/>
          <w:szCs w:val="34"/>
        </w:rPr>
        <w:t>（二）落实“</w:t>
      </w:r>
      <w:r>
        <w:rPr>
          <w:rFonts w:ascii="仿宋" w:eastAsia="仿宋" w:hAnsi="仿宋" w:cstheme="minorEastAsia"/>
          <w:b/>
          <w:sz w:val="34"/>
          <w:szCs w:val="34"/>
        </w:rPr>
        <w:t>三全育人</w:t>
      </w:r>
      <w:r>
        <w:rPr>
          <w:rFonts w:ascii="仿宋" w:eastAsia="仿宋" w:hAnsi="仿宋" w:cstheme="minorEastAsia" w:hint="eastAsia"/>
          <w:b/>
          <w:sz w:val="34"/>
          <w:szCs w:val="34"/>
        </w:rPr>
        <w:t>”“</w:t>
      </w:r>
      <w:r>
        <w:rPr>
          <w:rFonts w:ascii="仿宋" w:eastAsia="仿宋" w:hAnsi="仿宋" w:cstheme="minorEastAsia"/>
          <w:b/>
          <w:sz w:val="34"/>
          <w:szCs w:val="34"/>
        </w:rPr>
        <w:t>立德树人</w:t>
      </w:r>
      <w:r>
        <w:rPr>
          <w:rFonts w:ascii="仿宋" w:eastAsia="仿宋" w:hAnsi="仿宋" w:cstheme="minorEastAsia" w:hint="eastAsia"/>
          <w:b/>
          <w:sz w:val="34"/>
          <w:szCs w:val="34"/>
        </w:rPr>
        <w:t>”的根本</w:t>
      </w:r>
      <w:r>
        <w:rPr>
          <w:rFonts w:ascii="仿宋" w:eastAsia="仿宋" w:hAnsi="仿宋" w:cstheme="minorEastAsia"/>
          <w:b/>
          <w:sz w:val="34"/>
          <w:szCs w:val="34"/>
        </w:rPr>
        <w:t>任务</w:t>
      </w:r>
      <w:bookmarkEnd w:id="32"/>
      <w:bookmarkEnd w:id="33"/>
    </w:p>
    <w:p w:rsidR="00B1111D" w:rsidRDefault="001C004B">
      <w:pPr>
        <w:autoSpaceDE w:val="0"/>
        <w:autoSpaceDN w:val="0"/>
        <w:adjustRightInd w:val="0"/>
        <w:spacing w:line="360" w:lineRule="auto"/>
        <w:ind w:firstLineChars="200" w:firstLine="680"/>
        <w:jc w:val="left"/>
        <w:rPr>
          <w:rFonts w:ascii="仿宋" w:eastAsia="仿宋" w:hAnsi="仿宋" w:cstheme="minorEastAsia"/>
          <w:bCs/>
          <w:sz w:val="34"/>
          <w:szCs w:val="34"/>
        </w:rPr>
      </w:pPr>
      <w:r>
        <w:rPr>
          <w:rFonts w:ascii="仿宋" w:eastAsia="仿宋" w:hAnsi="仿宋" w:cstheme="minorEastAsia" w:hint="eastAsia"/>
          <w:bCs/>
          <w:sz w:val="34"/>
          <w:szCs w:val="34"/>
        </w:rPr>
        <w:t>“三全育人”的</w:t>
      </w:r>
      <w:r>
        <w:rPr>
          <w:rFonts w:ascii="仿宋" w:eastAsia="仿宋" w:hAnsi="仿宋" w:cstheme="minorEastAsia"/>
          <w:bCs/>
          <w:sz w:val="34"/>
          <w:szCs w:val="34"/>
        </w:rPr>
        <w:t>本质就是全</w:t>
      </w:r>
      <w:r>
        <w:rPr>
          <w:rFonts w:ascii="仿宋" w:eastAsia="仿宋" w:hAnsi="仿宋" w:cstheme="minorEastAsia" w:hint="eastAsia"/>
          <w:bCs/>
          <w:sz w:val="34"/>
          <w:szCs w:val="34"/>
        </w:rPr>
        <w:t>员</w:t>
      </w:r>
      <w:r>
        <w:rPr>
          <w:rFonts w:ascii="仿宋" w:eastAsia="仿宋" w:hAnsi="仿宋" w:cstheme="minorEastAsia"/>
          <w:bCs/>
          <w:sz w:val="34"/>
          <w:szCs w:val="34"/>
        </w:rPr>
        <w:t>全过程全方位立德树人。</w:t>
      </w:r>
      <w:r>
        <w:rPr>
          <w:rFonts w:ascii="仿宋" w:eastAsia="仿宋" w:hAnsi="仿宋" w:cstheme="minorEastAsia" w:hint="eastAsia"/>
          <w:bCs/>
          <w:sz w:val="34"/>
          <w:szCs w:val="34"/>
        </w:rPr>
        <w:t>在研究生教育中，“全员”是指研究生导师、辅导员、院系领导、研究生院和研究</w:t>
      </w:r>
      <w:r>
        <w:rPr>
          <w:rFonts w:ascii="仿宋" w:eastAsia="仿宋" w:hAnsi="仿宋" w:cstheme="minorEastAsia"/>
          <w:bCs/>
          <w:sz w:val="34"/>
          <w:szCs w:val="34"/>
        </w:rPr>
        <w:t>生教学管理</w:t>
      </w:r>
      <w:r>
        <w:rPr>
          <w:rFonts w:ascii="仿宋" w:eastAsia="仿宋" w:hAnsi="仿宋" w:cstheme="minorEastAsia" w:hint="eastAsia"/>
          <w:bCs/>
          <w:sz w:val="34"/>
          <w:szCs w:val="34"/>
        </w:rPr>
        <w:t>人员等。“全过程”是指研究生从进校到毕业的培养全过程。</w:t>
      </w:r>
      <w:r>
        <w:rPr>
          <w:rFonts w:ascii="仿宋" w:eastAsia="仿宋" w:hAnsi="仿宋" w:cstheme="minorEastAsia" w:hint="eastAsia"/>
          <w:bCs/>
          <w:sz w:val="34"/>
          <w:szCs w:val="34"/>
        </w:rPr>
        <w:lastRenderedPageBreak/>
        <w:t>“全方位”是指从各个角度使用多种手段育人。“三全育人”就是要发挥不同育人主体的作用，把各类要素集聚起来，通过融入经常、渗入日常的办法，给学生以人生启迪、智慧光芒、精神力量。</w:t>
      </w:r>
    </w:p>
    <w:p w:rsidR="00B1111D" w:rsidRDefault="001C004B">
      <w:pPr>
        <w:autoSpaceDE w:val="0"/>
        <w:autoSpaceDN w:val="0"/>
        <w:adjustRightInd w:val="0"/>
        <w:spacing w:line="360" w:lineRule="auto"/>
        <w:ind w:firstLineChars="200" w:firstLine="680"/>
        <w:jc w:val="left"/>
        <w:rPr>
          <w:rFonts w:ascii="仿宋" w:eastAsia="仿宋" w:hAnsi="仿宋" w:cstheme="minorEastAsia"/>
          <w:bCs/>
          <w:sz w:val="34"/>
          <w:szCs w:val="34"/>
        </w:rPr>
      </w:pPr>
      <w:r>
        <w:rPr>
          <w:rFonts w:ascii="仿宋" w:eastAsia="仿宋" w:hAnsi="仿宋" w:cstheme="minorEastAsia" w:hint="eastAsia"/>
          <w:bCs/>
          <w:sz w:val="34"/>
          <w:szCs w:val="34"/>
        </w:rPr>
        <w:t>对于</w:t>
      </w:r>
      <w:r>
        <w:rPr>
          <w:rFonts w:ascii="仿宋" w:eastAsia="仿宋" w:hAnsi="仿宋" w:cstheme="minorEastAsia"/>
          <w:bCs/>
          <w:sz w:val="34"/>
          <w:szCs w:val="34"/>
        </w:rPr>
        <w:t>研究生</w:t>
      </w:r>
      <w:r>
        <w:rPr>
          <w:rFonts w:ascii="仿宋" w:eastAsia="仿宋" w:hAnsi="仿宋" w:cstheme="minorEastAsia" w:hint="eastAsia"/>
          <w:bCs/>
          <w:sz w:val="34"/>
          <w:szCs w:val="34"/>
        </w:rPr>
        <w:t>导师投入“三全育人”的切入点可以</w:t>
      </w:r>
      <w:r>
        <w:rPr>
          <w:rFonts w:ascii="仿宋" w:eastAsia="仿宋" w:hAnsi="仿宋" w:cstheme="minorEastAsia"/>
          <w:bCs/>
          <w:sz w:val="34"/>
          <w:szCs w:val="34"/>
        </w:rPr>
        <w:t>包含理论</w:t>
      </w:r>
      <w:r>
        <w:rPr>
          <w:rFonts w:ascii="仿宋" w:eastAsia="仿宋" w:hAnsi="仿宋" w:cstheme="minorEastAsia" w:hint="eastAsia"/>
          <w:bCs/>
          <w:sz w:val="34"/>
          <w:szCs w:val="34"/>
        </w:rPr>
        <w:t>与</w:t>
      </w:r>
      <w:r>
        <w:rPr>
          <w:rFonts w:ascii="仿宋" w:eastAsia="仿宋" w:hAnsi="仿宋" w:cstheme="minorEastAsia"/>
          <w:bCs/>
          <w:sz w:val="34"/>
          <w:szCs w:val="34"/>
        </w:rPr>
        <w:t>实践相结合的</w:t>
      </w:r>
      <w:r>
        <w:rPr>
          <w:rFonts w:ascii="仿宋" w:eastAsia="仿宋" w:hAnsi="仿宋" w:cstheme="minorEastAsia" w:hint="eastAsia"/>
          <w:bCs/>
          <w:sz w:val="34"/>
          <w:szCs w:val="34"/>
        </w:rPr>
        <w:t>“</w:t>
      </w:r>
      <w:r>
        <w:rPr>
          <w:rFonts w:ascii="仿宋" w:eastAsia="仿宋" w:hAnsi="仿宋" w:cstheme="minorEastAsia"/>
          <w:bCs/>
          <w:sz w:val="34"/>
          <w:szCs w:val="34"/>
        </w:rPr>
        <w:t>大思政课</w:t>
      </w:r>
      <w:r>
        <w:rPr>
          <w:rFonts w:ascii="仿宋" w:eastAsia="仿宋" w:hAnsi="仿宋" w:cstheme="minorEastAsia" w:hint="eastAsia"/>
          <w:bCs/>
          <w:sz w:val="34"/>
          <w:szCs w:val="34"/>
        </w:rPr>
        <w:t>”、课题组育人等。导师要针对学生的困惑对症下药。学生的困惑包括学业、人际关系、职业发展等方面。导师在这几个方面开展工作，有着得天独厚的优势。紧扣学生</w:t>
      </w:r>
      <w:r>
        <w:rPr>
          <w:rFonts w:ascii="仿宋" w:eastAsia="仿宋" w:hAnsi="仿宋" w:cstheme="minorEastAsia"/>
          <w:bCs/>
          <w:sz w:val="34"/>
          <w:szCs w:val="34"/>
        </w:rPr>
        <w:t>的困惑</w:t>
      </w:r>
      <w:r>
        <w:rPr>
          <w:rFonts w:ascii="仿宋" w:eastAsia="仿宋" w:hAnsi="仿宋" w:cstheme="minorEastAsia" w:hint="eastAsia"/>
          <w:bCs/>
          <w:sz w:val="34"/>
          <w:szCs w:val="34"/>
        </w:rPr>
        <w:t>为导向，进一步压实导师育人</w:t>
      </w:r>
      <w:r>
        <w:rPr>
          <w:rFonts w:ascii="仿宋" w:eastAsia="仿宋" w:hAnsi="仿宋" w:cstheme="minorEastAsia"/>
          <w:bCs/>
          <w:sz w:val="34"/>
          <w:szCs w:val="34"/>
        </w:rPr>
        <w:t>及立德树人的</w:t>
      </w:r>
      <w:r>
        <w:rPr>
          <w:rFonts w:ascii="仿宋" w:eastAsia="仿宋" w:hAnsi="仿宋" w:cstheme="minorEastAsia" w:hint="eastAsia"/>
          <w:bCs/>
          <w:sz w:val="34"/>
          <w:szCs w:val="34"/>
        </w:rPr>
        <w:t>责任，不断把立德树人的体制机制优势转化为育人实效。</w:t>
      </w:r>
    </w:p>
    <w:p w:rsidR="00B1111D" w:rsidRDefault="001C004B">
      <w:pPr>
        <w:autoSpaceDE w:val="0"/>
        <w:autoSpaceDN w:val="0"/>
        <w:adjustRightInd w:val="0"/>
        <w:spacing w:line="360" w:lineRule="auto"/>
        <w:ind w:firstLineChars="200" w:firstLine="683"/>
        <w:jc w:val="left"/>
        <w:outlineLvl w:val="1"/>
        <w:rPr>
          <w:rFonts w:ascii="仿宋" w:eastAsia="仿宋" w:hAnsi="仿宋" w:cstheme="minorEastAsia"/>
          <w:b/>
          <w:sz w:val="34"/>
          <w:szCs w:val="34"/>
        </w:rPr>
      </w:pPr>
      <w:bookmarkStart w:id="34" w:name="_Hlk123733177"/>
      <w:bookmarkStart w:id="35" w:name="_Toc2510"/>
      <w:r>
        <w:rPr>
          <w:rFonts w:ascii="仿宋" w:eastAsia="仿宋" w:hAnsi="仿宋" w:cstheme="minorEastAsia" w:hint="eastAsia"/>
          <w:b/>
          <w:sz w:val="34"/>
          <w:szCs w:val="34"/>
        </w:rPr>
        <w:t>（三）</w:t>
      </w:r>
      <w:r w:rsidR="00C56F3C">
        <w:rPr>
          <w:rFonts w:ascii="仿宋" w:eastAsia="仿宋" w:hAnsi="仿宋" w:cstheme="minorEastAsia" w:hint="eastAsia"/>
          <w:b/>
          <w:sz w:val="34"/>
          <w:szCs w:val="34"/>
        </w:rPr>
        <w:t>进一步</w:t>
      </w:r>
      <w:r>
        <w:rPr>
          <w:rFonts w:ascii="仿宋" w:eastAsia="仿宋" w:hAnsi="仿宋" w:cstheme="minorEastAsia" w:hint="eastAsia"/>
          <w:b/>
          <w:sz w:val="34"/>
          <w:szCs w:val="34"/>
        </w:rPr>
        <w:t>加强研究生培养体系建设，细化培养目标及培养方案</w:t>
      </w:r>
      <w:bookmarkEnd w:id="34"/>
      <w:bookmarkEnd w:id="35"/>
    </w:p>
    <w:p w:rsidR="00B1111D" w:rsidRDefault="001C004B">
      <w:pPr>
        <w:autoSpaceDE w:val="0"/>
        <w:autoSpaceDN w:val="0"/>
        <w:adjustRightInd w:val="0"/>
        <w:spacing w:line="360" w:lineRule="auto"/>
        <w:ind w:firstLineChars="200" w:firstLine="680"/>
        <w:jc w:val="left"/>
        <w:rPr>
          <w:rFonts w:ascii="仿宋" w:eastAsia="仿宋" w:hAnsi="仿宋" w:cstheme="minorEastAsia"/>
          <w:bCs/>
          <w:sz w:val="34"/>
          <w:szCs w:val="34"/>
        </w:rPr>
      </w:pPr>
      <w:r>
        <w:rPr>
          <w:rFonts w:ascii="仿宋" w:eastAsia="仿宋" w:hAnsi="仿宋" w:cstheme="minorEastAsia" w:hint="eastAsia"/>
          <w:bCs/>
          <w:sz w:val="34"/>
          <w:szCs w:val="34"/>
        </w:rPr>
        <w:t>完善研究生管理体系，完善研究生信息化管理系统，完善研究生作为高端人才发展规律的培养体系。构建专家评价、学生评价和教学督导评价的三维教学质量监控体系，利用教育评价委员会开展研究生教学全过程的内部质量督导；利用学位点评估、学位论文100%的查重与盲审等机制进行外部质量督导，全方位梳理问题、找差距、补短板，最终达到提高研究生培养质量的目的。</w:t>
      </w:r>
    </w:p>
    <w:p w:rsidR="00B1111D" w:rsidRDefault="001C004B">
      <w:pPr>
        <w:autoSpaceDE w:val="0"/>
        <w:autoSpaceDN w:val="0"/>
        <w:adjustRightInd w:val="0"/>
        <w:spacing w:line="360" w:lineRule="auto"/>
        <w:ind w:firstLineChars="200" w:firstLine="683"/>
        <w:jc w:val="left"/>
        <w:outlineLvl w:val="1"/>
        <w:rPr>
          <w:rFonts w:ascii="仿宋" w:eastAsia="仿宋" w:hAnsi="仿宋" w:cstheme="minorEastAsia"/>
          <w:b/>
          <w:sz w:val="34"/>
          <w:szCs w:val="34"/>
        </w:rPr>
      </w:pPr>
      <w:bookmarkStart w:id="36" w:name="_Hlk123733200"/>
      <w:bookmarkStart w:id="37" w:name="_Toc24720"/>
      <w:r>
        <w:rPr>
          <w:rFonts w:ascii="仿宋" w:eastAsia="仿宋" w:hAnsi="仿宋" w:cstheme="minorEastAsia" w:hint="eastAsia"/>
          <w:b/>
          <w:sz w:val="34"/>
          <w:szCs w:val="34"/>
        </w:rPr>
        <w:t>（四）</w:t>
      </w:r>
      <w:r w:rsidR="00430AD9">
        <w:rPr>
          <w:rFonts w:ascii="仿宋" w:eastAsia="仿宋" w:hAnsi="仿宋" w:cstheme="minorEastAsia" w:hint="eastAsia"/>
          <w:b/>
          <w:sz w:val="34"/>
          <w:szCs w:val="34"/>
        </w:rPr>
        <w:t>持续</w:t>
      </w:r>
      <w:r>
        <w:rPr>
          <w:rFonts w:ascii="仿宋" w:eastAsia="仿宋" w:hAnsi="仿宋" w:cstheme="minorEastAsia" w:hint="eastAsia"/>
          <w:b/>
          <w:sz w:val="34"/>
          <w:szCs w:val="34"/>
        </w:rPr>
        <w:t>推进研究生学位论文质量提升计划，多措并举提升研究生培养质量</w:t>
      </w:r>
      <w:bookmarkEnd w:id="36"/>
      <w:bookmarkEnd w:id="37"/>
    </w:p>
    <w:p w:rsidR="00B1111D" w:rsidRDefault="001C004B" w:rsidP="006532A1">
      <w:pPr>
        <w:autoSpaceDE w:val="0"/>
        <w:autoSpaceDN w:val="0"/>
        <w:adjustRightInd w:val="0"/>
        <w:spacing w:line="360" w:lineRule="auto"/>
        <w:ind w:firstLineChars="200" w:firstLine="680"/>
        <w:jc w:val="left"/>
        <w:rPr>
          <w:rFonts w:ascii="仿宋" w:eastAsia="仿宋" w:hAnsi="仿宋" w:cstheme="minorEastAsia"/>
          <w:bCs/>
          <w:sz w:val="34"/>
          <w:szCs w:val="34"/>
        </w:rPr>
      </w:pPr>
      <w:r w:rsidRPr="006532A1">
        <w:rPr>
          <w:rFonts w:ascii="仿宋" w:eastAsia="仿宋" w:hAnsi="仿宋" w:cstheme="minorEastAsia" w:hint="eastAsia"/>
          <w:bCs/>
          <w:sz w:val="34"/>
          <w:szCs w:val="34"/>
        </w:rPr>
        <w:lastRenderedPageBreak/>
        <w:t>在学生开题时，要求有一位统计学专家进行论文设计方面的指导，从论文设计阶段进行科学指导干预；在论文送外审之前，启动院内评审工作，将所有拟答辩论文全部评审并分档，对于优秀论文及不合格论文采取相应的奖惩措施；启动医院优博优硕计划，为院级优秀学位论文提供经费支持，孵育省级优秀论文。</w:t>
      </w:r>
    </w:p>
    <w:sectPr w:rsidR="00B1111D" w:rsidSect="00B1111D">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F6E" w:rsidRDefault="00BA6F6E" w:rsidP="00B1111D">
      <w:r>
        <w:separator/>
      </w:r>
    </w:p>
  </w:endnote>
  <w:endnote w:type="continuationSeparator" w:id="1">
    <w:p w:rsidR="00BA6F6E" w:rsidRDefault="00BA6F6E" w:rsidP="00B11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0" w:usb1="08000000" w:usb2="00000000" w:usb3="00000000" w:csb0="00040000" w:csb1="00000000"/>
  </w:font>
  <w:font w:name="楷体_GB2312">
    <w:altName w:val="微软雅黑"/>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1D" w:rsidRDefault="00592C03">
    <w:pPr>
      <w:pStyle w:val="a6"/>
      <w:widowControl/>
      <w:textAlignment w:val="baseline"/>
      <w:rPr>
        <w:rStyle w:val="NormalCharacter"/>
        <w:rFonts w:ascii="Times New Roman" w:eastAsia="宋体" w:hAnsi="Times New Roman"/>
        <w:sz w:val="18"/>
        <w:szCs w:val="18"/>
      </w:rPr>
    </w:pPr>
    <w:r w:rsidRPr="00592C03">
      <w:pict>
        <v:shapetype id="_x0000_t202" coordsize="21600,21600" o:spt="202" path="m,l,21600r21600,l21600,xe">
          <v:stroke joinstyle="miter"/>
          <v:path gradientshapeok="t" o:connecttype="rect"/>
        </v:shapetype>
        <v:shape id="_x0000_s3073" type="#_x0000_t202" style="position:absolute;margin-left:0;margin-top:.65pt;width:2in;height:2in;z-index:251659264;mso-position-horizontal:center;mso-position-horizontal-relative:margin" filled="f" stroked="f" strokeweight="1.25pt">
          <v:textbox style="mso-next-textbox:#_x0000_s3073" inset="0,0,0,0">
            <w:txbxContent>
              <w:p w:rsidR="00B1111D" w:rsidRDefault="00B1111D">
                <w:pPr>
                  <w:textAlignment w:val="baseline"/>
                  <w:rPr>
                    <w:rStyle w:val="NormalCharacter"/>
                    <w:rFonts w:ascii="Times New Roman" w:eastAsia="宋体" w:hAnsi="Times New Roman"/>
                    <w:sz w:val="21"/>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33166"/>
    </w:sdtPr>
    <w:sdtContent>
      <w:p w:rsidR="00B1111D" w:rsidRDefault="00592C03">
        <w:pPr>
          <w:pStyle w:val="a6"/>
          <w:jc w:val="center"/>
        </w:pPr>
        <w:r>
          <w:fldChar w:fldCharType="begin"/>
        </w:r>
        <w:r w:rsidR="001C004B">
          <w:instrText>PAGE   \* MERGEFORMAT</w:instrText>
        </w:r>
        <w:r>
          <w:fldChar w:fldCharType="separate"/>
        </w:r>
        <w:r w:rsidR="006F6BF8" w:rsidRPr="006F6BF8">
          <w:rPr>
            <w:noProof/>
            <w:lang w:val="zh-CN"/>
          </w:rPr>
          <w:t>1</w:t>
        </w:r>
        <w:r>
          <w:fldChar w:fldCharType="end"/>
        </w:r>
      </w:p>
    </w:sdtContent>
  </w:sdt>
  <w:p w:rsidR="00B1111D" w:rsidRDefault="00B1111D">
    <w:pPr>
      <w:pStyle w:val="a6"/>
      <w:widowControl/>
      <w:textAlignment w:val="baseline"/>
      <w:rPr>
        <w:rStyle w:val="NormalCharacter"/>
        <w:rFonts w:ascii="Times New Roman" w:eastAsia="宋体" w:hAnsi="Times New Roman"/>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1D" w:rsidRDefault="00592C03">
    <w:pPr>
      <w:pStyle w:val="a6"/>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9.05pt;height:30.5pt;z-index:251660288;mso-wrap-style:none;mso-position-horizontal:center;mso-position-horizontal-relative:margin" filled="f" stroked="f">
          <v:textbox style="mso-fit-shape-to-text:t" inset="0,0,0,0">
            <w:txbxContent>
              <w:sdt>
                <w:sdtPr>
                  <w:id w:val="1024905762"/>
                </w:sdtPr>
                <w:sdtContent>
                  <w:p w:rsidR="00B1111D" w:rsidRDefault="00592C03">
                    <w:pPr>
                      <w:pStyle w:val="a6"/>
                      <w:jc w:val="center"/>
                    </w:pPr>
                    <w:r>
                      <w:fldChar w:fldCharType="begin"/>
                    </w:r>
                    <w:r w:rsidR="001C004B">
                      <w:instrText>PAGE   \* MERGEFORMAT</w:instrText>
                    </w:r>
                    <w:r>
                      <w:fldChar w:fldCharType="separate"/>
                    </w:r>
                    <w:r w:rsidR="006F6BF8" w:rsidRPr="006F6BF8">
                      <w:rPr>
                        <w:noProof/>
                        <w:lang w:val="zh-CN"/>
                      </w:rPr>
                      <w:t>1</w:t>
                    </w:r>
                    <w:r>
                      <w:fldChar w:fldCharType="end"/>
                    </w:r>
                  </w:p>
                </w:sdtContent>
              </w:sdt>
              <w:p w:rsidR="00B1111D" w:rsidRDefault="00B1111D"/>
            </w:txbxContent>
          </v:textbox>
          <w10:wrap anchorx="margin"/>
        </v:shape>
      </w:pict>
    </w:r>
  </w:p>
  <w:p w:rsidR="00B1111D" w:rsidRDefault="00B1111D">
    <w:pPr>
      <w:pStyle w:val="a6"/>
      <w:widowControl/>
      <w:textAlignment w:val="baseline"/>
      <w:rPr>
        <w:rStyle w:val="NormalCharacter"/>
        <w:rFonts w:ascii="Times New Roman" w:eastAsia="宋体"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F6E" w:rsidRDefault="00BA6F6E" w:rsidP="00B1111D">
      <w:r>
        <w:separator/>
      </w:r>
    </w:p>
  </w:footnote>
  <w:footnote w:type="continuationSeparator" w:id="1">
    <w:p w:rsidR="00BA6F6E" w:rsidRDefault="00BA6F6E" w:rsidP="00B11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trackedChanges" w:enforcement="0"/>
  <w:defaultTabStop w:val="420"/>
  <w:characterSpacingControl w:val="doNotCompress"/>
  <w:hdrShapeDefaults>
    <o:shapedefaults v:ext="edit" spidmax="19458"/>
    <o:shapelayout v:ext="edit">
      <o:idmap v:ext="edit" data="1,3"/>
    </o:shapelayout>
  </w:hdrShapeDefaults>
  <w:footnotePr>
    <w:footnote w:id="0"/>
    <w:footnote w:id="1"/>
  </w:footnotePr>
  <w:endnotePr>
    <w:endnote w:id="0"/>
    <w:endnote w:id="1"/>
  </w:endnotePr>
  <w:compat>
    <w:useFELayout/>
  </w:compat>
  <w:docVars>
    <w:docVar w:name="commondata" w:val="eyJoZGlkIjoiOTU2ZjZiZTNlYWYwZTY1ZDJlMzgzZDE2Zjk4OTE2ZjUifQ=="/>
  </w:docVars>
  <w:rsids>
    <w:rsidRoot w:val="00414F17"/>
    <w:rsid w:val="0002076D"/>
    <w:rsid w:val="0004267B"/>
    <w:rsid w:val="00045BFB"/>
    <w:rsid w:val="00074BC8"/>
    <w:rsid w:val="000932CE"/>
    <w:rsid w:val="000F6E44"/>
    <w:rsid w:val="00102FEF"/>
    <w:rsid w:val="00143CE3"/>
    <w:rsid w:val="001707BC"/>
    <w:rsid w:val="00175237"/>
    <w:rsid w:val="001C004B"/>
    <w:rsid w:val="001C11C3"/>
    <w:rsid w:val="001E47FF"/>
    <w:rsid w:val="00204A0E"/>
    <w:rsid w:val="00225E72"/>
    <w:rsid w:val="002539F3"/>
    <w:rsid w:val="002B2C8B"/>
    <w:rsid w:val="002C6BB5"/>
    <w:rsid w:val="002D34B4"/>
    <w:rsid w:val="00326E78"/>
    <w:rsid w:val="003B187F"/>
    <w:rsid w:val="003D5C4F"/>
    <w:rsid w:val="00410E3B"/>
    <w:rsid w:val="00414F17"/>
    <w:rsid w:val="00430AD9"/>
    <w:rsid w:val="00431EB6"/>
    <w:rsid w:val="00493778"/>
    <w:rsid w:val="004D2A4C"/>
    <w:rsid w:val="004E3DFB"/>
    <w:rsid w:val="004F3D69"/>
    <w:rsid w:val="005512E4"/>
    <w:rsid w:val="0055153E"/>
    <w:rsid w:val="005828F9"/>
    <w:rsid w:val="00592C03"/>
    <w:rsid w:val="00594E2D"/>
    <w:rsid w:val="005B08A7"/>
    <w:rsid w:val="005B7A48"/>
    <w:rsid w:val="00652492"/>
    <w:rsid w:val="006532A1"/>
    <w:rsid w:val="00671576"/>
    <w:rsid w:val="006B4016"/>
    <w:rsid w:val="006D71F4"/>
    <w:rsid w:val="006F6BF8"/>
    <w:rsid w:val="00711352"/>
    <w:rsid w:val="00750D42"/>
    <w:rsid w:val="00753CE3"/>
    <w:rsid w:val="007750DB"/>
    <w:rsid w:val="0079151D"/>
    <w:rsid w:val="0079384D"/>
    <w:rsid w:val="00794989"/>
    <w:rsid w:val="00795D15"/>
    <w:rsid w:val="007A21DC"/>
    <w:rsid w:val="007D0A69"/>
    <w:rsid w:val="00802696"/>
    <w:rsid w:val="008379BE"/>
    <w:rsid w:val="008B68D2"/>
    <w:rsid w:val="008B6E0E"/>
    <w:rsid w:val="00983B46"/>
    <w:rsid w:val="009E45EA"/>
    <w:rsid w:val="009E4D69"/>
    <w:rsid w:val="00A015E3"/>
    <w:rsid w:val="00A11A00"/>
    <w:rsid w:val="00A20B51"/>
    <w:rsid w:val="00A4685A"/>
    <w:rsid w:val="00A53499"/>
    <w:rsid w:val="00A7070F"/>
    <w:rsid w:val="00AA2311"/>
    <w:rsid w:val="00AC2DA5"/>
    <w:rsid w:val="00AC6EAC"/>
    <w:rsid w:val="00AD38D6"/>
    <w:rsid w:val="00AD4E4A"/>
    <w:rsid w:val="00B1111D"/>
    <w:rsid w:val="00B64C8A"/>
    <w:rsid w:val="00BA3BED"/>
    <w:rsid w:val="00BA6F6E"/>
    <w:rsid w:val="00BB7C22"/>
    <w:rsid w:val="00BC6E8F"/>
    <w:rsid w:val="00BC7F00"/>
    <w:rsid w:val="00BF514A"/>
    <w:rsid w:val="00C01E3F"/>
    <w:rsid w:val="00C269E2"/>
    <w:rsid w:val="00C56F3C"/>
    <w:rsid w:val="00CA209E"/>
    <w:rsid w:val="00CB6994"/>
    <w:rsid w:val="00CC04BF"/>
    <w:rsid w:val="00CD672A"/>
    <w:rsid w:val="00CE0EA3"/>
    <w:rsid w:val="00D05BF1"/>
    <w:rsid w:val="00D07A8A"/>
    <w:rsid w:val="00D330F4"/>
    <w:rsid w:val="00D607B6"/>
    <w:rsid w:val="00D64887"/>
    <w:rsid w:val="00D72A9B"/>
    <w:rsid w:val="00D72B96"/>
    <w:rsid w:val="00DB0562"/>
    <w:rsid w:val="00DD1903"/>
    <w:rsid w:val="00DD2B55"/>
    <w:rsid w:val="00E02B0D"/>
    <w:rsid w:val="00ED5F5E"/>
    <w:rsid w:val="00EE03E4"/>
    <w:rsid w:val="00EF1D84"/>
    <w:rsid w:val="00F40A49"/>
    <w:rsid w:val="00F40DB1"/>
    <w:rsid w:val="00F57FB9"/>
    <w:rsid w:val="00F62F53"/>
    <w:rsid w:val="00F701D3"/>
    <w:rsid w:val="00F74035"/>
    <w:rsid w:val="00F84104"/>
    <w:rsid w:val="00F86485"/>
    <w:rsid w:val="00FB14BA"/>
    <w:rsid w:val="00FD275C"/>
    <w:rsid w:val="04134A25"/>
    <w:rsid w:val="04A532AC"/>
    <w:rsid w:val="17903149"/>
    <w:rsid w:val="2ECA6704"/>
    <w:rsid w:val="39411F77"/>
    <w:rsid w:val="3AA761D2"/>
    <w:rsid w:val="44667764"/>
    <w:rsid w:val="570A153A"/>
    <w:rsid w:val="64473D13"/>
    <w:rsid w:val="76A10C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header" w:semiHidden="0" w:unhideWhenUsed="0" w:qFormat="1"/>
    <w:lsdException w:name="footer" w:semiHidden="0" w:uiPriority="99" w:unhideWhenUsed="0" w:qFormat="1"/>
    <w:lsdException w:name="caption" w:semiHidden="0" w:qFormat="1"/>
    <w:lsdException w:name="page number" w:semiHidden="0" w:unhideWhenUsed="0" w:qFormat="1"/>
    <w:lsdException w:name="List Number" w:unhideWhenUsed="0"/>
    <w:lsdException w:name="List 4" w:unhideWhenUsed="0"/>
    <w:lsdException w:name="List 5" w:unhideWhenUsed="0"/>
    <w:lsdException w:name="Title" w:semiHidden="0" w:unhideWhenUsed="0" w:qFormat="1"/>
    <w:lsdException w:name="Default Paragraph Font" w:semiHidden="0" w:uiPriority="1"/>
    <w:lsdException w:name="Body Text Indent" w:semiHidden="0" w:uiPriority="99" w:qFormat="1"/>
    <w:lsdException w:name="Subtitle" w:semiHidden="0" w:unhideWhenUsed="0" w:qFormat="1"/>
    <w:lsdException w:name="Salutation" w:unhideWhenUsed="0"/>
    <w:lsdException w:name="Date" w:unhideWhenUsed="0"/>
    <w:lsdException w:name="Body Text First Indent" w:unhideWhenUsed="0"/>
    <w:lsdException w:name="Body Text First Indent 2" w:semiHidden="0" w:uiPriority="99" w:qFormat="1"/>
    <w:lsdException w:name="Note Heading" w:uiPriority="99"/>
    <w:lsdException w:name="Hyperlink" w:semiHidden="0" w:uiPriority="99"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Typewriter"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1D"/>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rsid w:val="00B1111D"/>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B1111D"/>
    <w:pPr>
      <w:keepNext/>
      <w:keepLines/>
      <w:spacing w:line="408" w:lineRule="auto"/>
      <w:ind w:firstLineChars="150" w:firstLine="663"/>
      <w:jc w:val="left"/>
      <w:outlineLvl w:val="1"/>
    </w:pPr>
    <w:rPr>
      <w:rFonts w:ascii="Arial" w:eastAsia="楷体" w:hAnsi="Arial"/>
      <w:b/>
    </w:rPr>
  </w:style>
  <w:style w:type="paragraph" w:styleId="3">
    <w:name w:val="heading 3"/>
    <w:basedOn w:val="a"/>
    <w:next w:val="a"/>
    <w:link w:val="3Char"/>
    <w:uiPriority w:val="9"/>
    <w:qFormat/>
    <w:rsid w:val="00B1111D"/>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B1111D"/>
    <w:rPr>
      <w:rFonts w:ascii="Calibri" w:hAnsi="Calibri"/>
      <w:sz w:val="20"/>
      <w:szCs w:val="20"/>
    </w:rPr>
  </w:style>
  <w:style w:type="paragraph" w:styleId="a4">
    <w:name w:val="Body Text Indent"/>
    <w:basedOn w:val="a"/>
    <w:uiPriority w:val="99"/>
    <w:unhideWhenUsed/>
    <w:qFormat/>
    <w:rsid w:val="00B1111D"/>
    <w:pPr>
      <w:spacing w:after="120"/>
      <w:ind w:leftChars="200" w:left="420"/>
    </w:pPr>
  </w:style>
  <w:style w:type="paragraph" w:styleId="a5">
    <w:name w:val="Balloon Text"/>
    <w:basedOn w:val="a"/>
    <w:qFormat/>
    <w:rsid w:val="00B1111D"/>
    <w:rPr>
      <w:sz w:val="18"/>
      <w:szCs w:val="18"/>
    </w:rPr>
  </w:style>
  <w:style w:type="paragraph" w:styleId="a6">
    <w:name w:val="footer"/>
    <w:basedOn w:val="a"/>
    <w:uiPriority w:val="99"/>
    <w:qFormat/>
    <w:rsid w:val="00B1111D"/>
    <w:pPr>
      <w:tabs>
        <w:tab w:val="center" w:pos="4153"/>
        <w:tab w:val="right" w:pos="8306"/>
      </w:tabs>
      <w:snapToGrid w:val="0"/>
      <w:jc w:val="left"/>
    </w:pPr>
    <w:rPr>
      <w:sz w:val="18"/>
      <w:szCs w:val="18"/>
    </w:rPr>
  </w:style>
  <w:style w:type="paragraph" w:styleId="a7">
    <w:name w:val="header"/>
    <w:basedOn w:val="a"/>
    <w:qFormat/>
    <w:rsid w:val="00B111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1111D"/>
  </w:style>
  <w:style w:type="paragraph" w:styleId="20">
    <w:name w:val="toc 2"/>
    <w:basedOn w:val="a"/>
    <w:next w:val="a"/>
    <w:uiPriority w:val="39"/>
    <w:unhideWhenUsed/>
    <w:qFormat/>
    <w:rsid w:val="00B1111D"/>
    <w:pPr>
      <w:ind w:leftChars="200" w:left="420"/>
    </w:pPr>
  </w:style>
  <w:style w:type="paragraph" w:styleId="a8">
    <w:name w:val="Normal (Web)"/>
    <w:basedOn w:val="a"/>
    <w:qFormat/>
    <w:rsid w:val="00B1111D"/>
    <w:pPr>
      <w:spacing w:beforeAutospacing="1" w:afterAutospacing="1"/>
      <w:jc w:val="left"/>
    </w:pPr>
    <w:rPr>
      <w:rFonts w:cs="Times New Roman"/>
      <w:kern w:val="0"/>
      <w:sz w:val="24"/>
    </w:rPr>
  </w:style>
  <w:style w:type="paragraph" w:styleId="21">
    <w:name w:val="Body Text First Indent 2"/>
    <w:basedOn w:val="a4"/>
    <w:uiPriority w:val="99"/>
    <w:unhideWhenUsed/>
    <w:qFormat/>
    <w:rsid w:val="00B1111D"/>
    <w:pPr>
      <w:ind w:firstLineChars="200" w:firstLine="420"/>
    </w:pPr>
  </w:style>
  <w:style w:type="table" w:styleId="a9">
    <w:name w:val="Table Grid"/>
    <w:basedOn w:val="a1"/>
    <w:qFormat/>
    <w:rsid w:val="00B111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B1111D"/>
    <w:rPr>
      <w:b/>
    </w:rPr>
  </w:style>
  <w:style w:type="character" w:styleId="ab">
    <w:name w:val="page number"/>
    <w:basedOn w:val="a0"/>
    <w:qFormat/>
    <w:rsid w:val="00B1111D"/>
  </w:style>
  <w:style w:type="character" w:styleId="ac">
    <w:name w:val="FollowedHyperlink"/>
    <w:basedOn w:val="a0"/>
    <w:qFormat/>
    <w:rsid w:val="00B1111D"/>
    <w:rPr>
      <w:color w:val="800080"/>
      <w:u w:val="none"/>
    </w:rPr>
  </w:style>
  <w:style w:type="character" w:styleId="ad">
    <w:name w:val="Hyperlink"/>
    <w:basedOn w:val="a0"/>
    <w:uiPriority w:val="99"/>
    <w:qFormat/>
    <w:rsid w:val="00B1111D"/>
    <w:rPr>
      <w:color w:val="0000FF"/>
      <w:u w:val="none"/>
    </w:rPr>
  </w:style>
  <w:style w:type="character" w:customStyle="1" w:styleId="hover21">
    <w:name w:val="hover21"/>
    <w:basedOn w:val="a0"/>
    <w:qFormat/>
    <w:rsid w:val="00B1111D"/>
    <w:rPr>
      <w:color w:val="557EE7"/>
    </w:rPr>
  </w:style>
  <w:style w:type="paragraph" w:customStyle="1" w:styleId="-11">
    <w:name w:val="彩色列表 - 强调文字颜色 11"/>
    <w:basedOn w:val="a"/>
    <w:qFormat/>
    <w:rsid w:val="00B1111D"/>
    <w:pPr>
      <w:ind w:firstLineChars="200" w:firstLine="420"/>
    </w:pPr>
    <w:rPr>
      <w:rFonts w:ascii="Cambria" w:hAnsi="Cambria"/>
      <w:szCs w:val="22"/>
    </w:rPr>
  </w:style>
  <w:style w:type="character" w:customStyle="1" w:styleId="NormalCharacter">
    <w:name w:val="NormalCharacter"/>
    <w:semiHidden/>
    <w:qFormat/>
    <w:rsid w:val="00B1111D"/>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B1111D"/>
    <w:pPr>
      <w:spacing w:line="600" w:lineRule="exact"/>
      <w:ind w:firstLineChars="200" w:firstLine="640"/>
      <w:textAlignment w:val="baseline"/>
    </w:pPr>
    <w:rPr>
      <w:rFonts w:ascii="黑体" w:eastAsia="黑体" w:hAnsi="黑体"/>
      <w:color w:val="000000"/>
      <w:szCs w:val="32"/>
    </w:rPr>
  </w:style>
  <w:style w:type="character" w:customStyle="1" w:styleId="ae">
    <w:name w:val="批注框文本 字符"/>
    <w:basedOn w:val="a0"/>
    <w:qFormat/>
    <w:rsid w:val="00B1111D"/>
    <w:rPr>
      <w:rFonts w:asciiTheme="minorHAnsi" w:eastAsia="方正仿宋简体" w:hAnsiTheme="minorHAnsi" w:cstheme="minorBidi"/>
      <w:kern w:val="2"/>
      <w:sz w:val="18"/>
      <w:szCs w:val="18"/>
    </w:rPr>
  </w:style>
  <w:style w:type="paragraph" w:customStyle="1" w:styleId="WPSOffice1">
    <w:name w:val="WPSOffice手动目录 1"/>
    <w:qFormat/>
    <w:rsid w:val="00B1111D"/>
  </w:style>
  <w:style w:type="paragraph" w:customStyle="1" w:styleId="WPSOffice2">
    <w:name w:val="WPSOffice手动目录 2"/>
    <w:qFormat/>
    <w:rsid w:val="00B1111D"/>
    <w:pPr>
      <w:ind w:leftChars="200" w:left="200"/>
    </w:pPr>
  </w:style>
  <w:style w:type="character" w:customStyle="1" w:styleId="3Char">
    <w:name w:val="标题 3 Char"/>
    <w:basedOn w:val="a0"/>
    <w:link w:val="3"/>
    <w:uiPriority w:val="99"/>
    <w:qFormat/>
    <w:rsid w:val="00B1111D"/>
    <w:rPr>
      <w:rFonts w:asciiTheme="minorHAnsi" w:eastAsia="方正仿宋简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2052-11.1.0.14018</vt:lpstr>
  </property>
  <property fmtid="{D5CDD505-2E9C-101B-9397-08002B2CF9AE}" pid="3" name="ICV">
    <vt:lpstr>9A14C09C8F9A44BD905DB2A6E255DDF7</vt:lpstr>
  </property>
</Properties>
</file>

<file path=customXml/item4.xml><?xml version="1.0" encoding="utf-8"?>
<Properties xmlns:vt="http://schemas.openxmlformats.org/officeDocument/2006/docPropsVTypes" xmlns="http://schemas.openxmlformats.org/officeDocument/2006/extended-properties">
  <Template>Normal</Template>
  <TotalTime>0</TotalTime>
  <Pages>17</Pages>
  <Words>6819</Words>
  <Characters>7019</Characters>
  <Application>WPS Office_11.1.0.14018_F1E327BC-269C-435d-A152-05C5408002CA</Application>
  <DocSecurity>0</DocSecurity>
  <Lines>56</Lines>
  <Paragraphs>15</Paragraphs>
  <Company>Microsoft</Company>
  <CharactersWithSpaces>7090</CharactersWithSpaces>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2023-03-21T07:36:00Z</dcterms:created>
  <dc:creator>XWB</dc:creator>
  <cp:lastModifiedBy>质量办</cp:lastModifiedBy>
  <cp:lastPrinted>2020-11-20T03:24:00Z</cp:lastPrinted>
  <dcterms:modified xsi:type="dcterms:W3CDTF">2023-03-24T05:00:04Z</dcterms:modified>
  <cp:revision>9</cp:revision>
</cp:coreProperties>
</file>

<file path=customXml/item6.xml><?xml version="1.0" encoding="utf-8"?>
<Properties xmlns="http://schemas.openxmlformats.org/officeDocument/2006/extended-properties" xmlns:vt="http://schemas.openxmlformats.org/officeDocument/2006/docPropsVTypes">
  <Template>Normal</Template>
  <Company>Microsoft</Company>
  <Pages>17</Pages>
  <Words>6819</Words>
  <Characters>7019</Characters>
  <Lines>56</Lines>
  <Paragraphs>15</Paragraphs>
  <TotalTime>0</TotalTime>
  <ScaleCrop>false</ScaleCrop>
  <LinksUpToDate>false</LinksUpToDate>
  <CharactersWithSpaces>7090</CharactersWithSpaces>
  <Application>WPS Office_11.1.0.14018_F1E327BC-269C-435d-A152-05C5408002CA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9A14C09C8F9A44BD905DB2A6E255DDF7</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质量办</cp:lastModifiedBy>
  <cp:revision>9</cp:revision>
  <cp:lastPrinted>2020-11-20T03:24:00Z</cp:lastPrinted>
  <dcterms:created xsi:type="dcterms:W3CDTF">2023-03-21T07:36:00Z</dcterms:created>
  <dcterms:modified xsi:type="dcterms:W3CDTF">2023-03-24T05:00:04Z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C8907-5A01-4A6E-B6D4-40F0E74731B3}">
  <ds:schemaRefs>
    <ds:schemaRef ds:uri="http://schemas.openxmlformats.org/officeDocument/2006/bibliography"/>
  </ds:schemaRefs>
</ds:datastoreItem>
</file>

<file path=customXml/itemProps3.xml><?xml version="1.0" encoding="utf-8"?>
<ds:datastoreItem xmlns:ds="http://schemas.openxmlformats.org/officeDocument/2006/customXml" ds:itemID="{2CE7B061-29D3-4E10-BC8F-02F5D116ADE5}">
  <ds:schemaRefs>
    <ds:schemaRef ds:uri="http://schemas.openxmlformats.org/officeDocument/2006/docPropsVTypes"/>
    <ds:schemaRef ds:uri="http://schemas.openxmlformats.org/officeDocument/2006/custom-properties"/>
  </ds:schemaRefs>
</ds:datastoreItem>
</file>

<file path=customXml/itemProps4.xml><?xml version="1.0" encoding="utf-8"?>
<ds:datastoreItem xmlns:ds="http://schemas.openxmlformats.org/officeDocument/2006/customXml" ds:itemID="{7FE95FB2-EE6F-4B3D-937A-CD47A5119F7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4EE50B5-2924-413F-9125-8A9F0370A85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70281DA-0614-45DC-BC13-8305B3B77470}">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7D5A6DEB-0513-49B5-A5A1-14A0AB296A4A}">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267472F8-1088-48B7-B1AB-8705341DD20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1208</Words>
  <Characters>6889</Characters>
  <Application>Microsoft Office Word</Application>
  <DocSecurity>0</DocSecurity>
  <Lines>57</Lines>
  <Paragraphs>16</Paragraphs>
  <ScaleCrop>false</ScaleCrop>
  <Company>Microsoft</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Administrator</cp:lastModifiedBy>
  <cp:revision>8</cp:revision>
  <cp:lastPrinted>2020-11-20T03:24:00Z</cp:lastPrinted>
  <dcterms:created xsi:type="dcterms:W3CDTF">2025-01-21T07:39:00Z</dcterms:created>
  <dcterms:modified xsi:type="dcterms:W3CDTF">2025-01-22T02:33:00Z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5F524680990342F3BEA1EEF520A23F91_12</vt:lpwstr>
  </property>
</Properties>
</file>