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between w:val="none" w:color="auto" w:sz="0" w:space="0"/>
        </w:pBdr>
        <w:snapToGrid w:val="0"/>
        <w:spacing w:line="360" w:lineRule="auto"/>
        <w:jc w:val="center"/>
        <w:rPr>
          <w:rFonts w:hint="eastAsia" w:ascii="仿宋_GB2312" w:eastAsia="仿宋_GB2312"/>
          <w:b/>
          <w:bCs w:val="0"/>
          <w:sz w:val="36"/>
          <w:szCs w:val="36"/>
        </w:rPr>
      </w:pPr>
      <w:r>
        <w:rPr>
          <w:rFonts w:hint="eastAsia" w:ascii="仿宋_GB2312" w:eastAsia="仿宋_GB2312"/>
          <w:b/>
          <w:bCs w:val="0"/>
          <w:sz w:val="36"/>
          <w:szCs w:val="36"/>
        </w:rPr>
        <w:t>附属第一医院专业型硕士研究生学业奖学金评审赋分标准</w:t>
      </w:r>
    </w:p>
    <w:p>
      <w:pPr>
        <w:spacing w:line="360" w:lineRule="auto"/>
        <w:jc w:val="center"/>
        <w:rPr>
          <w:rFonts w:hint="eastAsia" w:ascii="仿宋_GB2312" w:eastAsia="仿宋_GB2312"/>
          <w:b/>
          <w:sz w:val="24"/>
          <w:szCs w:val="24"/>
        </w:rPr>
      </w:pPr>
      <w:r>
        <w:rPr>
          <w:rFonts w:hint="eastAsia" w:ascii="仿宋_GB2312" w:eastAsia="仿宋_GB2312"/>
          <w:b/>
          <w:sz w:val="24"/>
          <w:szCs w:val="24"/>
        </w:rPr>
        <w:t xml:space="preserve">学号：       </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姓名：      专业：   </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年级：</w:t>
      </w:r>
      <w:r>
        <w:rPr>
          <w:rFonts w:hint="eastAsia" w:ascii="仿宋_GB2312" w:eastAsia="仿宋_GB2312"/>
          <w:b/>
          <w:sz w:val="24"/>
          <w:szCs w:val="24"/>
          <w:lang w:val="en-US" w:eastAsia="zh-CN"/>
        </w:rPr>
        <w:t xml:space="preserve">    </w:t>
      </w:r>
      <w:r>
        <w:rPr>
          <w:rFonts w:hint="eastAsia" w:ascii="仿宋_GB2312" w:eastAsia="仿宋_GB2312"/>
          <w:b/>
          <w:sz w:val="24"/>
          <w:szCs w:val="24"/>
        </w:rPr>
        <w:t xml:space="preserve">    导师：</w:t>
      </w:r>
    </w:p>
    <w:tbl>
      <w:tblPr>
        <w:tblStyle w:val="5"/>
        <w:tblpPr w:leftFromText="180" w:rightFromText="180" w:vertAnchor="text" w:horzAnchor="page" w:tblpX="452" w:tblpY="286"/>
        <w:tblOverlap w:val="never"/>
        <w:tblW w:w="10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7"/>
        <w:gridCol w:w="1368"/>
        <w:gridCol w:w="814"/>
        <w:gridCol w:w="1179"/>
        <w:gridCol w:w="2421"/>
        <w:gridCol w:w="717"/>
        <w:gridCol w:w="2179"/>
        <w:gridCol w:w="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1567" w:type="dxa"/>
            <w:vAlign w:val="center"/>
          </w:tcPr>
          <w:p>
            <w:pPr>
              <w:spacing w:line="360" w:lineRule="exact"/>
              <w:jc w:val="center"/>
              <w:rPr>
                <w:rFonts w:ascii="仿宋_GB2312" w:hAnsi="仿宋" w:eastAsia="仿宋_GB2312" w:cs="Times"/>
                <w:b/>
                <w:bCs/>
                <w:kern w:val="1"/>
                <w:szCs w:val="21"/>
              </w:rPr>
            </w:pPr>
            <w:r>
              <w:rPr>
                <w:rFonts w:hint="eastAsia" w:ascii="仿宋_GB2312" w:hAnsi="仿宋" w:eastAsia="仿宋_GB2312" w:cs="Times"/>
                <w:b/>
                <w:bCs/>
                <w:kern w:val="1"/>
                <w:szCs w:val="21"/>
              </w:rPr>
              <w:t>赋分项目</w:t>
            </w:r>
          </w:p>
        </w:tc>
        <w:tc>
          <w:tcPr>
            <w:tcW w:w="8678" w:type="dxa"/>
            <w:gridSpan w:val="6"/>
            <w:vAlign w:val="center"/>
          </w:tcPr>
          <w:p>
            <w:pPr>
              <w:widowControl/>
              <w:autoSpaceDE w:val="0"/>
              <w:autoSpaceDN w:val="0"/>
              <w:adjustRightInd w:val="0"/>
              <w:spacing w:line="360" w:lineRule="exact"/>
              <w:jc w:val="center"/>
              <w:rPr>
                <w:rFonts w:ascii="仿宋_GB2312" w:hAnsi="仿宋" w:eastAsia="仿宋_GB2312" w:cs="Times"/>
                <w:b/>
                <w:bCs/>
                <w:color w:val="262626"/>
                <w:kern w:val="0"/>
                <w:szCs w:val="21"/>
              </w:rPr>
            </w:pPr>
            <w:r>
              <w:rPr>
                <w:rFonts w:hint="eastAsia" w:ascii="仿宋_GB2312" w:hAnsi="仿宋" w:eastAsia="仿宋_GB2312" w:cs="Times"/>
                <w:b/>
                <w:bCs/>
                <w:kern w:val="1"/>
                <w:szCs w:val="21"/>
              </w:rPr>
              <w:t>赋分值</w:t>
            </w:r>
          </w:p>
        </w:tc>
        <w:tc>
          <w:tcPr>
            <w:tcW w:w="712" w:type="dxa"/>
            <w:vAlign w:val="center"/>
          </w:tcPr>
          <w:p>
            <w:pPr>
              <w:widowControl/>
              <w:autoSpaceDE w:val="0"/>
              <w:autoSpaceDN w:val="0"/>
              <w:adjustRightInd w:val="0"/>
              <w:spacing w:line="360" w:lineRule="exact"/>
              <w:jc w:val="center"/>
              <w:rPr>
                <w:rFonts w:ascii="仿宋_GB2312" w:hAnsi="仿宋" w:eastAsia="仿宋_GB2312" w:cs="Times"/>
                <w:b/>
                <w:bCs/>
                <w:kern w:val="1"/>
                <w:szCs w:val="21"/>
              </w:rPr>
            </w:pPr>
            <w:r>
              <w:rPr>
                <w:rFonts w:hint="eastAsia" w:ascii="仿宋_GB2312" w:hAnsi="仿宋" w:eastAsia="仿宋_GB2312" w:cs="Times"/>
                <w:b/>
                <w:bCs/>
                <w:kern w:val="1"/>
                <w:szCs w:val="21"/>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567"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color w:val="262626"/>
                <w:kern w:val="0"/>
                <w:szCs w:val="21"/>
              </w:rPr>
              <w:t>外语能力</w:t>
            </w: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大学英语六级成绩</w:t>
            </w:r>
          </w:p>
        </w:tc>
        <w:tc>
          <w:tcPr>
            <w:tcW w:w="6496" w:type="dxa"/>
            <w:gridSpan w:val="4"/>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lang w:val="en-US" w:eastAsia="zh-CN"/>
              </w:rPr>
              <w:t>通过</w:t>
            </w:r>
            <w:r>
              <w:rPr>
                <w:rFonts w:hint="eastAsia" w:ascii="仿宋_GB2312" w:hAnsi="仿宋" w:eastAsia="仿宋_GB2312"/>
                <w:color w:val="262626"/>
                <w:kern w:val="0"/>
                <w:szCs w:val="21"/>
              </w:rPr>
              <w:t>（1</w:t>
            </w:r>
            <w:r>
              <w:rPr>
                <w:rFonts w:hint="eastAsia" w:ascii="仿宋_GB2312" w:hAnsi="仿宋" w:eastAsia="仿宋_GB2312"/>
                <w:color w:val="262626"/>
                <w:kern w:val="0"/>
                <w:szCs w:val="21"/>
                <w:lang w:val="en-US" w:eastAsia="zh-CN"/>
              </w:rPr>
              <w:t>0</w:t>
            </w:r>
            <w:r>
              <w:rPr>
                <w:rFonts w:hint="eastAsia" w:ascii="仿宋_GB2312" w:hAnsi="仿宋" w:eastAsia="仿宋_GB2312"/>
                <w:color w:val="262626"/>
                <w:kern w:val="0"/>
                <w:szCs w:val="21"/>
              </w:rPr>
              <w:t>分）</w:t>
            </w:r>
            <w:r>
              <w:rPr>
                <w:rFonts w:hint="eastAsia" w:ascii="仿宋_GB2312" w:hAnsi="仿宋" w:eastAsia="仿宋_GB2312"/>
                <w:color w:val="262626"/>
                <w:kern w:val="0"/>
                <w:szCs w:val="21"/>
                <w:lang w:eastAsia="zh-CN"/>
              </w:rPr>
              <w:t>，</w:t>
            </w:r>
            <w:r>
              <w:rPr>
                <w:rFonts w:hint="eastAsia" w:ascii="仿宋_GB2312" w:hAnsi="仿宋" w:eastAsia="仿宋_GB2312"/>
                <w:color w:val="262626"/>
                <w:kern w:val="0"/>
                <w:szCs w:val="21"/>
              </w:rPr>
              <w:t>50</w:t>
            </w:r>
            <w:r>
              <w:rPr>
                <w:rFonts w:hint="eastAsia" w:ascii="仿宋_GB2312" w:hAnsi="仿宋" w:eastAsia="仿宋_GB2312"/>
                <w:color w:val="262626"/>
                <w:kern w:val="0"/>
                <w:szCs w:val="21"/>
                <w:lang w:val="en-US" w:eastAsia="zh-CN"/>
              </w:rPr>
              <w:t>0-599分</w:t>
            </w:r>
            <w:r>
              <w:rPr>
                <w:rFonts w:hint="eastAsia" w:ascii="仿宋_GB2312" w:hAnsi="仿宋" w:eastAsia="仿宋_GB2312"/>
                <w:color w:val="262626"/>
                <w:kern w:val="0"/>
                <w:szCs w:val="21"/>
              </w:rPr>
              <w:t>（</w:t>
            </w:r>
            <w:r>
              <w:rPr>
                <w:rFonts w:hint="eastAsia" w:ascii="仿宋_GB2312" w:hAnsi="仿宋" w:eastAsia="仿宋_GB2312"/>
                <w:color w:val="262626"/>
                <w:kern w:val="0"/>
                <w:szCs w:val="21"/>
                <w:lang w:val="en-US" w:eastAsia="zh-CN"/>
              </w:rPr>
              <w:t>15</w:t>
            </w:r>
            <w:r>
              <w:rPr>
                <w:rFonts w:hint="eastAsia" w:ascii="仿宋_GB2312" w:hAnsi="仿宋" w:eastAsia="仿宋_GB2312"/>
                <w:color w:val="262626"/>
                <w:kern w:val="0"/>
                <w:szCs w:val="21"/>
              </w:rPr>
              <w:t>分）</w:t>
            </w:r>
            <w:r>
              <w:rPr>
                <w:rFonts w:hint="eastAsia" w:ascii="仿宋_GB2312" w:hAnsi="仿宋" w:eastAsia="仿宋_GB2312"/>
                <w:color w:val="262626"/>
                <w:kern w:val="0"/>
                <w:szCs w:val="21"/>
                <w:lang w:eastAsia="zh-CN"/>
              </w:rPr>
              <w:t>，</w:t>
            </w:r>
            <w:r>
              <w:rPr>
                <w:rFonts w:hint="eastAsia" w:ascii="仿宋_GB2312" w:hAnsi="仿宋" w:eastAsia="仿宋_GB2312"/>
                <w:color w:val="262626"/>
                <w:kern w:val="0"/>
                <w:szCs w:val="21"/>
                <w:lang w:val="en-US" w:eastAsia="zh-CN"/>
              </w:rPr>
              <w:t>600分以上（20分）</w:t>
            </w:r>
          </w:p>
        </w:tc>
        <w:tc>
          <w:tcPr>
            <w:tcW w:w="712" w:type="dxa"/>
            <w:vAlign w:val="center"/>
          </w:tcPr>
          <w:p>
            <w:pPr>
              <w:spacing w:line="360" w:lineRule="exac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7" w:type="dxa"/>
            <w:vMerge w:val="restart"/>
          </w:tcPr>
          <w:p>
            <w:pPr>
              <w:spacing w:line="360" w:lineRule="exact"/>
              <w:rPr>
                <w:rFonts w:ascii="仿宋_GB2312" w:hAnsi="仿宋" w:eastAsia="仿宋_GB2312"/>
                <w:szCs w:val="21"/>
              </w:rPr>
            </w:pPr>
            <w:r>
              <w:rPr>
                <w:rFonts w:hint="eastAsia" w:ascii="仿宋_GB2312" w:hAnsi="仿宋" w:eastAsia="仿宋_GB2312"/>
                <w:szCs w:val="21"/>
              </w:rPr>
              <w:t>专业能力与职业素养</w:t>
            </w:r>
          </w:p>
          <w:p>
            <w:pPr>
              <w:spacing w:line="360" w:lineRule="exact"/>
              <w:rPr>
                <w:rFonts w:ascii="仿宋_GB2312" w:hAnsi="仿宋" w:eastAsia="仿宋_GB2312"/>
                <w:szCs w:val="21"/>
              </w:rPr>
            </w:pPr>
            <w:r>
              <w:rPr>
                <w:rFonts w:hint="eastAsia" w:ascii="仿宋_GB2312" w:hAnsi="仿宋" w:eastAsia="仿宋_GB2312"/>
                <w:szCs w:val="21"/>
              </w:rPr>
              <w:t>5名专家签字：</w:t>
            </w:r>
          </w:p>
        </w:tc>
        <w:tc>
          <w:tcPr>
            <w:tcW w:w="2182" w:type="dxa"/>
            <w:gridSpan w:val="2"/>
            <w:vAlign w:val="center"/>
          </w:tcPr>
          <w:p>
            <w:pPr>
              <w:spacing w:line="360" w:lineRule="exact"/>
              <w:rPr>
                <w:rFonts w:hint="eastAsia" w:ascii="仿宋_GB2312" w:hAnsi="仿宋" w:eastAsia="仿宋_GB2312"/>
                <w:color w:val="262626"/>
                <w:kern w:val="0"/>
                <w:szCs w:val="21"/>
                <w:lang w:eastAsia="zh-CN"/>
              </w:rPr>
            </w:pPr>
            <w:r>
              <w:rPr>
                <w:rFonts w:hint="eastAsia" w:ascii="仿宋_GB2312" w:hAnsi="仿宋" w:eastAsia="仿宋_GB2312"/>
                <w:color w:val="262626"/>
                <w:kern w:val="0"/>
                <w:szCs w:val="21"/>
              </w:rPr>
              <w:t>执业医师成绩</w:t>
            </w:r>
          </w:p>
          <w:p>
            <w:pPr>
              <w:spacing w:line="360" w:lineRule="exact"/>
              <w:rPr>
                <w:rFonts w:ascii="仿宋_GB2312" w:hAnsi="仿宋" w:eastAsia="仿宋_GB2312"/>
                <w:color w:val="262626"/>
                <w:kern w:val="0"/>
                <w:szCs w:val="21"/>
              </w:rPr>
            </w:pPr>
          </w:p>
        </w:tc>
        <w:tc>
          <w:tcPr>
            <w:tcW w:w="6496" w:type="dxa"/>
            <w:gridSpan w:val="4"/>
            <w:vAlign w:val="center"/>
          </w:tcPr>
          <w:p>
            <w:pPr>
              <w:spacing w:line="360" w:lineRule="exact"/>
              <w:jc w:val="left"/>
              <w:rPr>
                <w:rFonts w:hint="default" w:ascii="仿宋_GB2312" w:hAnsi="仿宋" w:eastAsia="仿宋_GB2312"/>
                <w:szCs w:val="21"/>
                <w:lang w:val="en-US" w:eastAsia="zh-CN"/>
              </w:rPr>
            </w:pPr>
            <w:r>
              <w:rPr>
                <w:rFonts w:hint="eastAsia" w:ascii="仿宋_GB2312" w:hAnsi="仿宋" w:eastAsia="仿宋_GB2312"/>
                <w:lang w:val="en-US" w:eastAsia="zh-CN"/>
              </w:rPr>
              <w:t>通过（10分），400-500分（15分），500分以上（20分）</w:t>
            </w:r>
          </w:p>
        </w:tc>
        <w:tc>
          <w:tcPr>
            <w:tcW w:w="712" w:type="dxa"/>
            <w:vAlign w:val="center"/>
          </w:tcPr>
          <w:p>
            <w:pPr>
              <w:spacing w:line="360" w:lineRule="exact"/>
              <w:jc w:val="left"/>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567" w:type="dxa"/>
            <w:vMerge w:val="continue"/>
          </w:tcPr>
          <w:p>
            <w:pPr>
              <w:spacing w:line="360" w:lineRule="exact"/>
              <w:rPr>
                <w:rFonts w:ascii="仿宋_GB2312" w:hAnsi="仿宋" w:eastAsia="仿宋_GB2312"/>
                <w:szCs w:val="21"/>
              </w:rPr>
            </w:pPr>
          </w:p>
        </w:tc>
        <w:tc>
          <w:tcPr>
            <w:tcW w:w="2182" w:type="dxa"/>
            <w:gridSpan w:val="2"/>
            <w:vAlign w:val="center"/>
          </w:tcPr>
          <w:p>
            <w:pPr>
              <w:spacing w:line="360" w:lineRule="exact"/>
              <w:rPr>
                <w:rFonts w:hint="eastAsia" w:ascii="仿宋_GB2312" w:hAnsi="仿宋" w:eastAsia="仿宋_GB2312"/>
                <w:color w:val="262626"/>
                <w:kern w:val="0"/>
                <w:szCs w:val="21"/>
                <w:lang w:eastAsia="zh-CN"/>
              </w:rPr>
            </w:pPr>
            <w:r>
              <w:rPr>
                <w:rFonts w:hint="eastAsia" w:ascii="仿宋_GB2312" w:hAnsi="仿宋" w:eastAsia="仿宋_GB2312"/>
                <w:color w:val="262626"/>
                <w:kern w:val="0"/>
                <w:szCs w:val="21"/>
              </w:rPr>
              <w:t>首次住培年度考试成绩</w:t>
            </w:r>
          </w:p>
        </w:tc>
        <w:tc>
          <w:tcPr>
            <w:tcW w:w="6496" w:type="dxa"/>
            <w:gridSpan w:val="4"/>
            <w:vAlign w:val="center"/>
          </w:tcPr>
          <w:p>
            <w:pPr>
              <w:spacing w:line="360" w:lineRule="exact"/>
              <w:jc w:val="left"/>
              <w:rPr>
                <w:rFonts w:hint="default" w:ascii="仿宋_GB2312" w:hAnsi="仿宋" w:eastAsia="仿宋_GB2312"/>
                <w:lang w:val="en-US"/>
              </w:rPr>
            </w:pPr>
            <w:r>
              <w:rPr>
                <w:rFonts w:hint="eastAsia" w:ascii="仿宋_GB2312" w:hAnsi="仿宋" w:eastAsia="仿宋_GB2312"/>
                <w:lang w:val="en-US" w:eastAsia="zh-CN"/>
              </w:rPr>
              <w:t>专业排名第一名赋分15分，其余按比例赋分，计算公式为：实际分数*15/第一名得分（由毕业后医学教育办公室提供计算结果），经认定未参加和未及格者本项不赋分。</w:t>
            </w:r>
          </w:p>
        </w:tc>
        <w:tc>
          <w:tcPr>
            <w:tcW w:w="712" w:type="dxa"/>
            <w:vAlign w:val="center"/>
          </w:tcPr>
          <w:p>
            <w:pPr>
              <w:spacing w:line="360" w:lineRule="exact"/>
              <w:jc w:val="left"/>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专业基础能力考查</w:t>
            </w:r>
          </w:p>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w:t>
            </w:r>
            <w:r>
              <w:rPr>
                <w:rFonts w:hint="eastAsia" w:ascii="仿宋_GB2312" w:hAnsi="仿宋" w:eastAsia="仿宋_GB2312"/>
                <w:color w:val="262626"/>
                <w:kern w:val="0"/>
                <w:szCs w:val="21"/>
                <w:lang w:val="en-US" w:eastAsia="zh-CN"/>
              </w:rPr>
              <w:t>5</w:t>
            </w:r>
            <w:r>
              <w:rPr>
                <w:rFonts w:hint="eastAsia" w:ascii="仿宋_GB2312" w:hAnsi="仿宋" w:eastAsia="仿宋_GB2312"/>
                <w:color w:val="262626"/>
                <w:kern w:val="0"/>
                <w:szCs w:val="21"/>
              </w:rPr>
              <w:t>分）</w:t>
            </w:r>
          </w:p>
        </w:tc>
        <w:tc>
          <w:tcPr>
            <w:tcW w:w="6496" w:type="dxa"/>
            <w:gridSpan w:val="4"/>
            <w:vAlign w:val="center"/>
          </w:tcPr>
          <w:p>
            <w:pPr>
              <w:spacing w:line="360" w:lineRule="exact"/>
              <w:jc w:val="left"/>
              <w:rPr>
                <w:rFonts w:ascii="仿宋_GB2312" w:hAnsi="仿宋" w:eastAsia="仿宋_GB2312"/>
                <w:szCs w:val="21"/>
              </w:rPr>
            </w:pPr>
            <w:r>
              <w:rPr>
                <w:rFonts w:hint="eastAsia" w:ascii="仿宋_GB2312" w:hAnsi="仿宋" w:eastAsia="仿宋_GB2312"/>
                <w:szCs w:val="21"/>
              </w:rPr>
              <w:t>专业基础能力考查，侧重知识的掌握的深入性和广泛性；考查对学科知识的整体认识，对学科整体前沿发展趋势框架的把握；分析与解决问题的能力、逻辑思维能力；团队合作能力、创新能力等</w:t>
            </w:r>
          </w:p>
        </w:tc>
        <w:tc>
          <w:tcPr>
            <w:tcW w:w="712" w:type="dxa"/>
            <w:vAlign w:val="center"/>
          </w:tcPr>
          <w:p>
            <w:pPr>
              <w:spacing w:line="360" w:lineRule="exact"/>
              <w:jc w:val="left"/>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病志书写能力</w:t>
            </w:r>
          </w:p>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w:t>
            </w:r>
            <w:r>
              <w:rPr>
                <w:rFonts w:hint="eastAsia" w:ascii="仿宋_GB2312" w:hAnsi="仿宋" w:eastAsia="仿宋_GB2312"/>
                <w:color w:val="262626"/>
                <w:kern w:val="0"/>
                <w:szCs w:val="21"/>
                <w:lang w:val="en-US" w:eastAsia="zh-CN"/>
              </w:rPr>
              <w:t>5</w:t>
            </w:r>
            <w:r>
              <w:rPr>
                <w:rFonts w:hint="eastAsia" w:ascii="仿宋_GB2312" w:hAnsi="仿宋" w:eastAsia="仿宋_GB2312"/>
                <w:color w:val="262626"/>
                <w:kern w:val="0"/>
                <w:szCs w:val="21"/>
              </w:rPr>
              <w:t>分）</w:t>
            </w:r>
          </w:p>
        </w:tc>
        <w:tc>
          <w:tcPr>
            <w:tcW w:w="6496" w:type="dxa"/>
            <w:gridSpan w:val="4"/>
            <w:vAlign w:val="center"/>
          </w:tcPr>
          <w:p>
            <w:pPr>
              <w:spacing w:line="360" w:lineRule="exact"/>
              <w:jc w:val="left"/>
              <w:rPr>
                <w:rFonts w:ascii="仿宋_GB2312" w:hAnsi="仿宋" w:eastAsia="仿宋_GB2312"/>
                <w:szCs w:val="21"/>
              </w:rPr>
            </w:pPr>
            <w:r>
              <w:rPr>
                <w:rFonts w:hint="eastAsia" w:ascii="仿宋_GB2312" w:hAnsi="仿宋" w:eastAsia="仿宋_GB2312"/>
                <w:szCs w:val="21"/>
              </w:rPr>
              <w:t>患者病史询问全面性；病历书写规范性、完整性；诊断、鉴别诊断正确性；处理是否及时、得当；治疗方案正确性、合理性。（评审时提供3份本人书写病志，供评审用）</w:t>
            </w:r>
          </w:p>
        </w:tc>
        <w:tc>
          <w:tcPr>
            <w:tcW w:w="712" w:type="dxa"/>
            <w:vAlign w:val="center"/>
          </w:tcPr>
          <w:p>
            <w:pPr>
              <w:spacing w:line="360" w:lineRule="exact"/>
              <w:jc w:val="left"/>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职业素养</w:t>
            </w:r>
          </w:p>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w:t>
            </w:r>
            <w:r>
              <w:rPr>
                <w:rFonts w:hint="eastAsia" w:ascii="仿宋_GB2312" w:hAnsi="仿宋" w:eastAsia="仿宋_GB2312"/>
                <w:color w:val="262626"/>
                <w:kern w:val="0"/>
                <w:szCs w:val="21"/>
                <w:lang w:val="en-US" w:eastAsia="zh-CN"/>
              </w:rPr>
              <w:t>5</w:t>
            </w:r>
            <w:r>
              <w:rPr>
                <w:rFonts w:hint="eastAsia" w:ascii="仿宋_GB2312" w:hAnsi="仿宋" w:eastAsia="仿宋_GB2312"/>
                <w:color w:val="262626"/>
                <w:kern w:val="0"/>
                <w:szCs w:val="21"/>
              </w:rPr>
              <w:t>分）</w:t>
            </w:r>
          </w:p>
        </w:tc>
        <w:tc>
          <w:tcPr>
            <w:tcW w:w="6496" w:type="dxa"/>
            <w:gridSpan w:val="4"/>
            <w:vAlign w:val="center"/>
          </w:tcPr>
          <w:p>
            <w:pPr>
              <w:spacing w:line="360" w:lineRule="exact"/>
              <w:jc w:val="left"/>
              <w:rPr>
                <w:rFonts w:ascii="仿宋_GB2312" w:hAnsi="仿宋" w:eastAsia="仿宋_GB2312"/>
                <w:color w:val="262626"/>
                <w:kern w:val="0"/>
                <w:szCs w:val="21"/>
              </w:rPr>
            </w:pPr>
            <w:r>
              <w:rPr>
                <w:rFonts w:hint="eastAsia" w:ascii="仿宋_GB2312" w:hAnsi="仿宋" w:eastAsia="仿宋_GB2312"/>
                <w:color w:val="262626"/>
                <w:kern w:val="0"/>
                <w:szCs w:val="21"/>
              </w:rPr>
              <w:t>是否具备良好的医德医风；医护关系、医患关系是否和谐；与科室其他老师及同学关系是否融洽;出勤率情况;有无医疗差错和医疗事故</w:t>
            </w:r>
            <w:r>
              <w:rPr>
                <w:rFonts w:hint="eastAsia" w:ascii="仿宋_GB2312" w:hAnsi="仿宋" w:eastAsia="仿宋_GB2312"/>
                <w:szCs w:val="21"/>
              </w:rPr>
              <w:t>(学生有医疗差错和医疗事故情况,则不给与奖学金评定)</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567"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color w:val="262626"/>
                <w:kern w:val="0"/>
                <w:szCs w:val="21"/>
              </w:rPr>
              <w:t>临床科研能力</w:t>
            </w:r>
          </w:p>
        </w:tc>
        <w:tc>
          <w:tcPr>
            <w:tcW w:w="8678" w:type="dxa"/>
            <w:gridSpan w:val="6"/>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参照科研业绩赋分标准中学术论文\专利专著\科研项目立项\</w:t>
            </w:r>
            <w:r>
              <w:rPr>
                <w:rFonts w:hint="eastAsia" w:ascii="仿宋_GB2312" w:hAnsi="仿宋" w:eastAsia="仿宋_GB2312"/>
                <w:color w:val="262626"/>
                <w:kern w:val="0"/>
                <w:szCs w:val="21"/>
                <w:lang w:val="en-US" w:eastAsia="zh-CN"/>
              </w:rPr>
              <w:t>科研临床</w:t>
            </w:r>
            <w:r>
              <w:rPr>
                <w:rFonts w:hint="eastAsia" w:ascii="仿宋_GB2312" w:hAnsi="仿宋" w:eastAsia="仿宋_GB2312"/>
                <w:color w:val="262626"/>
                <w:kern w:val="0"/>
                <w:szCs w:val="21"/>
              </w:rPr>
              <w:t>竞赛的赋分标准</w:t>
            </w:r>
          </w:p>
        </w:tc>
        <w:tc>
          <w:tcPr>
            <w:tcW w:w="712" w:type="dxa"/>
            <w:vAlign w:val="center"/>
          </w:tcPr>
          <w:p>
            <w:pPr>
              <w:spacing w:line="360" w:lineRule="exac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7" w:type="dxa"/>
            <w:vMerge w:val="restart"/>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b/>
                <w:bCs/>
                <w:kern w:val="0"/>
                <w:sz w:val="24"/>
                <w:szCs w:val="28"/>
              </w:rPr>
              <w:t>综合素质</w:t>
            </w:r>
          </w:p>
        </w:tc>
        <w:tc>
          <w:tcPr>
            <w:tcW w:w="1368" w:type="dxa"/>
            <w:vMerge w:val="restart"/>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kern w:val="0"/>
                <w:sz w:val="24"/>
                <w:szCs w:val="24"/>
              </w:rPr>
              <w:t>荣誉称号</w:t>
            </w:r>
          </w:p>
        </w:tc>
        <w:tc>
          <w:tcPr>
            <w:tcW w:w="814"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kern w:val="0"/>
                <w:sz w:val="24"/>
                <w:szCs w:val="24"/>
              </w:rPr>
              <w:t>国家</w:t>
            </w:r>
          </w:p>
        </w:tc>
        <w:tc>
          <w:tcPr>
            <w:tcW w:w="6496" w:type="dxa"/>
            <w:gridSpan w:val="4"/>
            <w:vAlign w:val="center"/>
          </w:tcPr>
          <w:p>
            <w:pPr>
              <w:spacing w:line="360" w:lineRule="exact"/>
              <w:jc w:val="left"/>
              <w:rPr>
                <w:rFonts w:ascii="仿宋_GB2312" w:hAnsi="仿宋" w:eastAsia="仿宋_GB2312"/>
                <w:color w:val="262626"/>
                <w:kern w:val="0"/>
                <w:szCs w:val="21"/>
              </w:rPr>
            </w:pPr>
            <w:r>
              <w:rPr>
                <w:rFonts w:hint="eastAsia" w:ascii="仿宋_GB2312" w:hAnsi="仿宋" w:eastAsia="仿宋_GB2312"/>
                <w:kern w:val="0"/>
                <w:sz w:val="24"/>
                <w:szCs w:val="24"/>
              </w:rPr>
              <w:t>5</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1368" w:type="dxa"/>
            <w:vMerge w:val="continue"/>
            <w:vAlign w:val="center"/>
          </w:tcPr>
          <w:p>
            <w:pPr>
              <w:spacing w:line="360" w:lineRule="exact"/>
              <w:jc w:val="center"/>
              <w:rPr>
                <w:rFonts w:ascii="仿宋_GB2312" w:hAnsi="仿宋" w:eastAsia="仿宋_GB2312"/>
                <w:color w:val="262626"/>
                <w:kern w:val="0"/>
                <w:szCs w:val="21"/>
              </w:rPr>
            </w:pPr>
          </w:p>
        </w:tc>
        <w:tc>
          <w:tcPr>
            <w:tcW w:w="814"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kern w:val="0"/>
                <w:sz w:val="24"/>
                <w:szCs w:val="24"/>
              </w:rPr>
              <w:t>省级</w:t>
            </w:r>
          </w:p>
        </w:tc>
        <w:tc>
          <w:tcPr>
            <w:tcW w:w="6496" w:type="dxa"/>
            <w:gridSpan w:val="4"/>
            <w:vAlign w:val="center"/>
          </w:tcPr>
          <w:p>
            <w:pPr>
              <w:spacing w:line="360" w:lineRule="exact"/>
              <w:jc w:val="left"/>
              <w:rPr>
                <w:rFonts w:ascii="仿宋_GB2312" w:hAnsi="仿宋" w:eastAsia="仿宋_GB2312"/>
                <w:color w:val="262626"/>
                <w:kern w:val="0"/>
                <w:szCs w:val="21"/>
              </w:rPr>
            </w:pPr>
            <w:r>
              <w:rPr>
                <w:rFonts w:hint="eastAsia" w:ascii="仿宋_GB2312" w:hAnsi="仿宋" w:eastAsia="仿宋_GB2312"/>
                <w:kern w:val="0"/>
                <w:sz w:val="24"/>
                <w:szCs w:val="24"/>
              </w:rPr>
              <w:t>2</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1368" w:type="dxa"/>
            <w:vMerge w:val="continue"/>
            <w:vAlign w:val="center"/>
          </w:tcPr>
          <w:p>
            <w:pPr>
              <w:spacing w:line="360" w:lineRule="exact"/>
              <w:jc w:val="center"/>
              <w:rPr>
                <w:rFonts w:ascii="仿宋_GB2312" w:hAnsi="仿宋" w:eastAsia="仿宋_GB2312"/>
                <w:color w:val="262626"/>
                <w:kern w:val="0"/>
                <w:szCs w:val="21"/>
              </w:rPr>
            </w:pPr>
          </w:p>
        </w:tc>
        <w:tc>
          <w:tcPr>
            <w:tcW w:w="814"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kern w:val="0"/>
                <w:sz w:val="24"/>
                <w:szCs w:val="24"/>
              </w:rPr>
              <w:t>市级</w:t>
            </w:r>
          </w:p>
        </w:tc>
        <w:tc>
          <w:tcPr>
            <w:tcW w:w="6496" w:type="dxa"/>
            <w:gridSpan w:val="4"/>
            <w:vAlign w:val="center"/>
          </w:tcPr>
          <w:p>
            <w:pPr>
              <w:spacing w:line="360" w:lineRule="exact"/>
              <w:jc w:val="left"/>
              <w:rPr>
                <w:rFonts w:ascii="仿宋_GB2312" w:hAnsi="仿宋" w:eastAsia="仿宋_GB2312"/>
                <w:color w:val="262626"/>
                <w:kern w:val="0"/>
                <w:szCs w:val="21"/>
              </w:rPr>
            </w:pPr>
            <w:r>
              <w:rPr>
                <w:rFonts w:hint="eastAsia" w:ascii="仿宋_GB2312" w:hAnsi="仿宋" w:eastAsia="仿宋_GB2312"/>
                <w:kern w:val="0"/>
                <w:sz w:val="24"/>
                <w:szCs w:val="24"/>
              </w:rPr>
              <w:t>1</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1368" w:type="dxa"/>
            <w:vMerge w:val="continue"/>
            <w:vAlign w:val="center"/>
          </w:tcPr>
          <w:p>
            <w:pPr>
              <w:spacing w:line="360" w:lineRule="exact"/>
              <w:jc w:val="center"/>
              <w:rPr>
                <w:rFonts w:ascii="仿宋_GB2312" w:hAnsi="仿宋" w:eastAsia="仿宋_GB2312"/>
                <w:color w:val="262626"/>
                <w:kern w:val="0"/>
                <w:szCs w:val="21"/>
              </w:rPr>
            </w:pPr>
          </w:p>
        </w:tc>
        <w:tc>
          <w:tcPr>
            <w:tcW w:w="814" w:type="dxa"/>
            <w:vAlign w:val="center"/>
          </w:tcPr>
          <w:p>
            <w:pPr>
              <w:spacing w:line="360" w:lineRule="exact"/>
              <w:jc w:val="center"/>
              <w:rPr>
                <w:rFonts w:ascii="仿宋_GB2312" w:hAnsi="仿宋" w:eastAsia="仿宋_GB2312"/>
                <w:kern w:val="0"/>
                <w:szCs w:val="21"/>
              </w:rPr>
            </w:pPr>
            <w:r>
              <w:rPr>
                <w:rFonts w:hint="eastAsia" w:ascii="仿宋_GB2312" w:hAnsi="仿宋" w:eastAsia="仿宋_GB2312"/>
                <w:kern w:val="0"/>
                <w:sz w:val="24"/>
                <w:szCs w:val="24"/>
              </w:rPr>
              <w:t>校级</w:t>
            </w:r>
          </w:p>
        </w:tc>
        <w:tc>
          <w:tcPr>
            <w:tcW w:w="6496" w:type="dxa"/>
            <w:gridSpan w:val="4"/>
            <w:vAlign w:val="center"/>
          </w:tcPr>
          <w:p>
            <w:pPr>
              <w:spacing w:line="360" w:lineRule="exact"/>
              <w:jc w:val="left"/>
              <w:rPr>
                <w:rFonts w:ascii="仿宋_GB2312" w:hAnsi="仿宋" w:eastAsia="仿宋_GB2312"/>
                <w:kern w:val="0"/>
                <w:szCs w:val="21"/>
              </w:rPr>
            </w:pPr>
            <w:r>
              <w:rPr>
                <w:rFonts w:hint="eastAsia" w:ascii="仿宋_GB2312" w:hAnsi="仿宋" w:eastAsia="仿宋_GB2312"/>
                <w:kern w:val="0"/>
                <w:sz w:val="24"/>
                <w:szCs w:val="24"/>
              </w:rPr>
              <w:t>0.5</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67" w:type="dxa"/>
            <w:vMerge w:val="continue"/>
            <w:vAlign w:val="center"/>
          </w:tcPr>
          <w:p>
            <w:pPr>
              <w:spacing w:line="360" w:lineRule="exact"/>
              <w:jc w:val="center"/>
              <w:rPr>
                <w:rFonts w:ascii="仿宋_GB2312" w:hAnsi="仿宋" w:eastAsia="仿宋_GB2312"/>
                <w:color w:val="262626"/>
                <w:kern w:val="0"/>
                <w:szCs w:val="21"/>
                <w:highlight w:val="none"/>
              </w:rPr>
            </w:pPr>
          </w:p>
        </w:tc>
        <w:tc>
          <w:tcPr>
            <w:tcW w:w="2182" w:type="dxa"/>
            <w:gridSpan w:val="2"/>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kern w:val="0"/>
                <w:sz w:val="24"/>
                <w:szCs w:val="24"/>
              </w:rPr>
              <w:t>学生干部（0-5分）</w:t>
            </w:r>
          </w:p>
        </w:tc>
        <w:tc>
          <w:tcPr>
            <w:tcW w:w="6496" w:type="dxa"/>
            <w:gridSpan w:val="4"/>
            <w:vAlign w:val="center"/>
          </w:tcPr>
          <w:p>
            <w:pPr>
              <w:spacing w:line="360" w:lineRule="exact"/>
              <w:jc w:val="left"/>
              <w:rPr>
                <w:rFonts w:ascii="仿宋_GB2312" w:hAnsi="仿宋" w:eastAsia="仿宋_GB2312"/>
                <w:kern w:val="0"/>
                <w:szCs w:val="21"/>
                <w:highlight w:val="none"/>
              </w:rPr>
            </w:pPr>
            <w:r>
              <w:rPr>
                <w:rFonts w:hint="eastAsia" w:ascii="仿宋_GB2312" w:hAnsi="仿宋" w:eastAsia="仿宋_GB2312"/>
                <w:kern w:val="0"/>
                <w:sz w:val="24"/>
                <w:szCs w:val="24"/>
              </w:rPr>
              <w:t>在研究生学生管理中担任学生干部，由</w:t>
            </w:r>
            <w:r>
              <w:rPr>
                <w:rFonts w:hint="eastAsia" w:ascii="仿宋_GB2312" w:hAnsi="仿宋" w:eastAsia="仿宋_GB2312"/>
                <w:kern w:val="0"/>
                <w:sz w:val="24"/>
                <w:szCs w:val="24"/>
                <w:lang w:val="en-US" w:eastAsia="zh-CN"/>
              </w:rPr>
              <w:t>附属第一医院</w:t>
            </w:r>
            <w:bookmarkStart w:id="0" w:name="_GoBack"/>
            <w:bookmarkEnd w:id="0"/>
            <w:r>
              <w:rPr>
                <w:rFonts w:hint="eastAsia" w:ascii="仿宋_GB2312" w:hAnsi="仿宋" w:eastAsia="仿宋_GB2312"/>
                <w:kern w:val="0"/>
                <w:sz w:val="24"/>
                <w:szCs w:val="24"/>
              </w:rPr>
              <w:t>研究生学生</w:t>
            </w:r>
            <w:r>
              <w:rPr>
                <w:rFonts w:hint="eastAsia" w:ascii="仿宋_GB2312" w:hAnsi="仿宋" w:eastAsia="仿宋_GB2312"/>
                <w:kern w:val="0"/>
                <w:sz w:val="24"/>
                <w:szCs w:val="24"/>
                <w:lang w:val="en-US" w:eastAsia="zh-CN"/>
              </w:rPr>
              <w:t>管理</w:t>
            </w:r>
            <w:r>
              <w:rPr>
                <w:rFonts w:hint="eastAsia" w:ascii="仿宋_GB2312" w:hAnsi="仿宋" w:eastAsia="仿宋_GB2312"/>
                <w:kern w:val="0"/>
                <w:sz w:val="24"/>
                <w:szCs w:val="24"/>
              </w:rPr>
              <w:t>办公室</w:t>
            </w:r>
            <w:r>
              <w:rPr>
                <w:rFonts w:hint="eastAsia" w:ascii="仿宋_GB2312" w:hAnsi="仿宋" w:eastAsia="仿宋_GB2312"/>
                <w:kern w:val="0"/>
                <w:sz w:val="24"/>
                <w:szCs w:val="24"/>
                <w:lang w:val="en-US" w:eastAsia="zh-CN"/>
              </w:rPr>
              <w:t>综合年度考评和日常工作表现认定后，出具评分。</w:t>
            </w:r>
          </w:p>
        </w:tc>
        <w:tc>
          <w:tcPr>
            <w:tcW w:w="712" w:type="dxa"/>
            <w:vAlign w:val="center"/>
          </w:tcPr>
          <w:p>
            <w:pPr>
              <w:spacing w:line="360" w:lineRule="exact"/>
              <w:jc w:val="left"/>
              <w:rPr>
                <w:rFonts w:ascii="仿宋_GB2312" w:hAnsi="仿宋"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67" w:type="dxa"/>
            <w:vMerge w:val="continue"/>
            <w:vAlign w:val="center"/>
          </w:tcPr>
          <w:p>
            <w:pPr>
              <w:spacing w:line="360" w:lineRule="exact"/>
              <w:jc w:val="center"/>
              <w:rPr>
                <w:rFonts w:ascii="仿宋_GB2312" w:hAnsi="仿宋" w:eastAsia="仿宋_GB2312"/>
                <w:color w:val="262626"/>
                <w:kern w:val="0"/>
                <w:szCs w:val="21"/>
                <w:highlight w:val="none"/>
              </w:rPr>
            </w:pPr>
          </w:p>
        </w:tc>
        <w:tc>
          <w:tcPr>
            <w:tcW w:w="2182" w:type="dxa"/>
            <w:gridSpan w:val="2"/>
            <w:vAlign w:val="center"/>
          </w:tcPr>
          <w:p>
            <w:pPr>
              <w:spacing w:line="360" w:lineRule="exact"/>
              <w:jc w:val="center"/>
              <w:rPr>
                <w:rFonts w:ascii="仿宋_GB2312" w:hAnsi="仿宋" w:eastAsia="仿宋_GB2312"/>
                <w:color w:val="262626"/>
                <w:kern w:val="0"/>
                <w:szCs w:val="21"/>
                <w:highlight w:val="none"/>
              </w:rPr>
            </w:pPr>
            <w:r>
              <w:rPr>
                <w:rFonts w:hint="eastAsia" w:ascii="仿宋_GB2312" w:hAnsi="仿宋" w:eastAsia="仿宋_GB2312"/>
                <w:kern w:val="0"/>
                <w:sz w:val="24"/>
                <w:szCs w:val="24"/>
              </w:rPr>
              <w:t>志愿</w:t>
            </w:r>
            <w:r>
              <w:rPr>
                <w:rFonts w:hint="eastAsia" w:ascii="仿宋_GB2312" w:hAnsi="仿宋" w:eastAsia="仿宋_GB2312"/>
                <w:kern w:val="0"/>
                <w:sz w:val="24"/>
                <w:szCs w:val="24"/>
                <w:lang w:val="en-US" w:eastAsia="zh-CN"/>
              </w:rPr>
              <w:t>服务</w:t>
            </w:r>
            <w:r>
              <w:rPr>
                <w:rFonts w:hint="eastAsia" w:ascii="仿宋_GB2312" w:hAnsi="仿宋" w:eastAsia="仿宋_GB2312"/>
                <w:kern w:val="0"/>
                <w:sz w:val="24"/>
                <w:szCs w:val="24"/>
              </w:rPr>
              <w:t>（</w:t>
            </w:r>
            <w:r>
              <w:rPr>
                <w:rFonts w:hint="eastAsia" w:ascii="仿宋_GB2312" w:hAnsi="仿宋" w:eastAsia="仿宋_GB2312"/>
                <w:kern w:val="0"/>
                <w:sz w:val="24"/>
                <w:szCs w:val="24"/>
                <w:lang w:val="en-US" w:eastAsia="zh-CN"/>
              </w:rPr>
              <w:t>0-3</w:t>
            </w:r>
            <w:r>
              <w:rPr>
                <w:rFonts w:hint="eastAsia" w:ascii="仿宋_GB2312" w:hAnsi="仿宋" w:eastAsia="仿宋_GB2312"/>
                <w:kern w:val="0"/>
                <w:sz w:val="24"/>
                <w:szCs w:val="24"/>
              </w:rPr>
              <w:t>分）</w:t>
            </w:r>
          </w:p>
        </w:tc>
        <w:tc>
          <w:tcPr>
            <w:tcW w:w="6496" w:type="dxa"/>
            <w:gridSpan w:val="4"/>
            <w:vAlign w:val="center"/>
          </w:tcPr>
          <w:p>
            <w:pPr>
              <w:spacing w:line="360" w:lineRule="exact"/>
              <w:jc w:val="left"/>
              <w:rPr>
                <w:rFonts w:ascii="仿宋_GB2312" w:hAnsi="仿宋" w:eastAsia="仿宋_GB2312"/>
                <w:kern w:val="0"/>
                <w:szCs w:val="21"/>
                <w:highlight w:val="none"/>
              </w:rPr>
            </w:pPr>
            <w:r>
              <w:rPr>
                <w:rFonts w:hint="eastAsia" w:ascii="仿宋_GB2312" w:hAnsi="仿宋" w:eastAsia="仿宋_GB2312"/>
                <w:sz w:val="24"/>
                <w:szCs w:val="24"/>
                <w:lang w:val="en-US" w:eastAsia="zh-CN"/>
              </w:rPr>
              <w:t>研究生志愿服务工作，经服务部门出具相关材料，由相关</w:t>
            </w:r>
            <w:r>
              <w:rPr>
                <w:rFonts w:hint="eastAsia" w:ascii="仿宋_GB2312" w:hAnsi="仿宋" w:eastAsia="仿宋_GB2312"/>
                <w:kern w:val="0"/>
                <w:sz w:val="24"/>
                <w:szCs w:val="24"/>
              </w:rPr>
              <w:t>奖学金</w:t>
            </w:r>
            <w:r>
              <w:rPr>
                <w:rFonts w:hint="eastAsia" w:ascii="仿宋_GB2312" w:hAnsi="仿宋" w:eastAsia="仿宋_GB2312"/>
                <w:kern w:val="0"/>
                <w:sz w:val="24"/>
                <w:szCs w:val="24"/>
                <w:lang w:val="en-US" w:eastAsia="zh-CN"/>
              </w:rPr>
              <w:t>工作</w:t>
            </w:r>
            <w:r>
              <w:rPr>
                <w:rFonts w:hint="eastAsia" w:ascii="仿宋_GB2312" w:hAnsi="仿宋" w:eastAsia="仿宋_GB2312"/>
                <w:kern w:val="0"/>
                <w:sz w:val="24"/>
                <w:szCs w:val="24"/>
              </w:rPr>
              <w:t>评审委员会</w:t>
            </w:r>
            <w:r>
              <w:rPr>
                <w:rFonts w:hint="eastAsia" w:ascii="仿宋_GB2312" w:hAnsi="仿宋" w:eastAsia="仿宋_GB2312"/>
                <w:kern w:val="0"/>
                <w:sz w:val="24"/>
                <w:szCs w:val="24"/>
                <w:lang w:val="en-US" w:eastAsia="zh-CN"/>
              </w:rPr>
              <w:t>认定，</w:t>
            </w:r>
            <w:r>
              <w:rPr>
                <w:rFonts w:hint="eastAsia" w:ascii="仿宋_GB2312" w:hAnsi="仿宋" w:eastAsia="仿宋_GB2312"/>
                <w:sz w:val="24"/>
                <w:szCs w:val="24"/>
                <w:lang w:val="en-US" w:eastAsia="zh-CN"/>
              </w:rPr>
              <w:t>一次0.2分，满分3分封顶。</w:t>
            </w:r>
          </w:p>
        </w:tc>
        <w:tc>
          <w:tcPr>
            <w:tcW w:w="712" w:type="dxa"/>
            <w:vAlign w:val="center"/>
          </w:tcPr>
          <w:p>
            <w:pPr>
              <w:spacing w:line="360" w:lineRule="exact"/>
              <w:jc w:val="left"/>
              <w:rPr>
                <w:rFonts w:ascii="仿宋_GB2312" w:hAnsi="仿宋"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567" w:type="dxa"/>
            <w:tcBorders>
              <w:left w:val="single" w:color="auto" w:sz="4" w:space="0"/>
              <w:right w:val="nil"/>
            </w:tcBorders>
            <w:vAlign w:val="center"/>
          </w:tcPr>
          <w:p>
            <w:pPr>
              <w:spacing w:line="360" w:lineRule="exact"/>
              <w:jc w:val="center"/>
              <w:rPr>
                <w:rFonts w:ascii="仿宋_GB2312" w:hAnsi="仿宋" w:eastAsia="仿宋_GB2312"/>
                <w:b/>
                <w:bCs/>
                <w:color w:val="262626"/>
                <w:kern w:val="0"/>
                <w:highlight w:val="none"/>
              </w:rPr>
            </w:pPr>
            <w:r>
              <w:rPr>
                <w:rFonts w:hint="eastAsia" w:ascii="仿宋_GB2312" w:hAnsi="仿宋" w:eastAsia="仿宋_GB2312"/>
                <w:b/>
                <w:bCs/>
                <w:color w:val="262626"/>
                <w:kern w:val="0"/>
                <w:highlight w:val="none"/>
              </w:rPr>
              <w:t>推荐等级</w:t>
            </w:r>
          </w:p>
        </w:tc>
        <w:tc>
          <w:tcPr>
            <w:tcW w:w="2182" w:type="dxa"/>
            <w:gridSpan w:val="2"/>
            <w:vAlign w:val="center"/>
          </w:tcPr>
          <w:p>
            <w:pPr>
              <w:spacing w:line="360" w:lineRule="exact"/>
              <w:jc w:val="center"/>
              <w:rPr>
                <w:rFonts w:ascii="仿宋_GB2312" w:hAnsi="仿宋" w:eastAsia="仿宋_GB2312"/>
                <w:b/>
                <w:bCs/>
                <w:kern w:val="0"/>
                <w:highlight w:val="none"/>
              </w:rPr>
            </w:pPr>
          </w:p>
        </w:tc>
        <w:tc>
          <w:tcPr>
            <w:tcW w:w="1179" w:type="dxa"/>
            <w:vAlign w:val="center"/>
          </w:tcPr>
          <w:p>
            <w:pPr>
              <w:spacing w:line="360" w:lineRule="exact"/>
              <w:jc w:val="left"/>
              <w:rPr>
                <w:rFonts w:ascii="仿宋_GB2312" w:hAnsi="仿宋" w:eastAsia="仿宋_GB2312"/>
                <w:b/>
                <w:bCs/>
                <w:kern w:val="0"/>
                <w:highlight w:val="none"/>
              </w:rPr>
            </w:pPr>
            <w:r>
              <w:rPr>
                <w:rFonts w:hint="eastAsia" w:ascii="仿宋_GB2312" w:hAnsi="仿宋" w:eastAsia="仿宋_GB2312"/>
                <w:b/>
                <w:bCs/>
                <w:kern w:val="0"/>
                <w:highlight w:val="none"/>
              </w:rPr>
              <w:t>导师签字</w:t>
            </w:r>
          </w:p>
        </w:tc>
        <w:tc>
          <w:tcPr>
            <w:tcW w:w="2421" w:type="dxa"/>
            <w:vAlign w:val="center"/>
          </w:tcPr>
          <w:p>
            <w:pPr>
              <w:spacing w:line="360" w:lineRule="exact"/>
              <w:jc w:val="left"/>
              <w:rPr>
                <w:rFonts w:ascii="仿宋_GB2312" w:hAnsi="仿宋" w:eastAsia="仿宋_GB2312"/>
                <w:b/>
                <w:bCs/>
                <w:kern w:val="0"/>
                <w:highlight w:val="none"/>
              </w:rPr>
            </w:pPr>
          </w:p>
        </w:tc>
        <w:tc>
          <w:tcPr>
            <w:tcW w:w="717" w:type="dxa"/>
            <w:vAlign w:val="center"/>
          </w:tcPr>
          <w:p>
            <w:pPr>
              <w:spacing w:line="360" w:lineRule="exact"/>
              <w:jc w:val="left"/>
              <w:rPr>
                <w:rFonts w:ascii="仿宋_GB2312" w:hAnsi="仿宋" w:eastAsia="仿宋_GB2312"/>
                <w:b/>
                <w:bCs/>
                <w:color w:val="262626"/>
                <w:kern w:val="0"/>
                <w:highlight w:val="none"/>
              </w:rPr>
            </w:pPr>
            <w:r>
              <w:rPr>
                <w:rFonts w:hint="eastAsia" w:ascii="仿宋_GB2312" w:hAnsi="仿宋" w:eastAsia="仿宋_GB2312"/>
                <w:b/>
                <w:bCs/>
                <w:color w:val="262626"/>
                <w:kern w:val="0"/>
                <w:highlight w:val="none"/>
              </w:rPr>
              <w:t>总分</w:t>
            </w:r>
          </w:p>
        </w:tc>
        <w:tc>
          <w:tcPr>
            <w:tcW w:w="2891" w:type="dxa"/>
            <w:gridSpan w:val="2"/>
            <w:vAlign w:val="center"/>
          </w:tcPr>
          <w:p>
            <w:pPr>
              <w:spacing w:line="360" w:lineRule="exact"/>
              <w:jc w:val="left"/>
              <w:rPr>
                <w:rFonts w:ascii="仿宋_GB2312" w:hAnsi="仿宋" w:eastAsia="仿宋_GB2312"/>
                <w:b/>
                <w:bCs/>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3749" w:type="dxa"/>
            <w:gridSpan w:val="3"/>
            <w:tcBorders>
              <w:left w:val="single" w:color="auto" w:sz="4" w:space="0"/>
              <w:right w:val="nil"/>
            </w:tcBorders>
            <w:vAlign w:val="center"/>
          </w:tcPr>
          <w:p>
            <w:pPr>
              <w:spacing w:line="240" w:lineRule="exact"/>
              <w:jc w:val="center"/>
              <w:rPr>
                <w:rFonts w:ascii="仿宋_GB2312" w:hAnsi="仿宋" w:eastAsia="仿宋_GB2312"/>
                <w:b/>
                <w:bCs/>
                <w:color w:val="262626"/>
                <w:kern w:val="0"/>
                <w:highlight w:val="none"/>
              </w:rPr>
            </w:pPr>
            <w:r>
              <w:rPr>
                <w:rFonts w:hint="eastAsia" w:ascii="仿宋_GB2312" w:hAnsi="仿宋" w:eastAsia="仿宋_GB2312"/>
                <w:b/>
                <w:bCs/>
                <w:kern w:val="0"/>
                <w:sz w:val="24"/>
                <w:szCs w:val="24"/>
              </w:rPr>
              <w:t>教研室奖学金工作评审委员会负责人签字</w:t>
            </w:r>
          </w:p>
        </w:tc>
        <w:tc>
          <w:tcPr>
            <w:tcW w:w="7208" w:type="dxa"/>
            <w:gridSpan w:val="5"/>
            <w:vAlign w:val="center"/>
          </w:tcPr>
          <w:p>
            <w:pPr>
              <w:spacing w:line="240" w:lineRule="exact"/>
              <w:jc w:val="left"/>
              <w:rPr>
                <w:rFonts w:ascii="仿宋_GB2312" w:hAnsi="仿宋" w:eastAsia="仿宋_GB2312"/>
                <w:b/>
                <w:bCs/>
                <w:color w:val="262626"/>
                <w:kern w:val="0"/>
                <w:highlight w:val="none"/>
              </w:rPr>
            </w:pPr>
          </w:p>
        </w:tc>
      </w:tr>
    </w:tbl>
    <w:p>
      <w:pPr>
        <w:spacing w:before="80" w:beforeLines="25" w:beforeAutospacing="0" w:line="240" w:lineRule="exact"/>
        <w:jc w:val="center"/>
        <w:rPr>
          <w:rFonts w:hint="eastAsia" w:ascii="仿宋_GB2312" w:hAnsi="仿宋" w:eastAsia="仿宋_GB2312"/>
          <w:kern w:val="0"/>
          <w:sz w:val="24"/>
          <w:szCs w:val="28"/>
        </w:rPr>
      </w:pPr>
      <w:r>
        <w:rPr>
          <w:rFonts w:hint="eastAsia" w:ascii="仿宋_GB2312" w:hAnsi="仿宋" w:eastAsia="仿宋_GB2312"/>
          <w:kern w:val="0"/>
          <w:sz w:val="24"/>
          <w:szCs w:val="28"/>
        </w:rPr>
        <w:t>注：1.所有业绩材料均为研究生阶段获得；2.所提交业绩材料中，研究生本人所属单位必须为大连医科大学或大连医科大学附属第一医院；3.过去已获得</w:t>
      </w:r>
      <w:r>
        <w:rPr>
          <w:rFonts w:hint="eastAsia" w:ascii="仿宋_GB2312" w:hAnsi="仿宋" w:eastAsia="仿宋_GB2312"/>
          <w:kern w:val="0"/>
          <w:sz w:val="24"/>
          <w:szCs w:val="28"/>
          <w:lang w:val="en-US" w:eastAsia="zh-CN"/>
        </w:rPr>
        <w:t>学业</w:t>
      </w:r>
      <w:r>
        <w:rPr>
          <w:rFonts w:hint="eastAsia" w:ascii="仿宋_GB2312" w:hAnsi="仿宋" w:eastAsia="仿宋_GB2312"/>
          <w:kern w:val="0"/>
          <w:sz w:val="24"/>
          <w:szCs w:val="28"/>
        </w:rPr>
        <w:t>奖学金时提交的业绩材料不能用于本次</w:t>
      </w:r>
      <w:r>
        <w:rPr>
          <w:rFonts w:hint="eastAsia" w:ascii="仿宋_GB2312" w:hAnsi="仿宋" w:eastAsia="仿宋_GB2312"/>
          <w:kern w:val="0"/>
          <w:sz w:val="24"/>
          <w:szCs w:val="28"/>
          <w:lang w:val="en-US" w:eastAsia="zh-CN"/>
        </w:rPr>
        <w:t>学业</w:t>
      </w:r>
      <w:r>
        <w:rPr>
          <w:rFonts w:hint="eastAsia" w:ascii="仿宋_GB2312" w:hAnsi="仿宋" w:eastAsia="仿宋_GB2312"/>
          <w:kern w:val="0"/>
          <w:sz w:val="24"/>
          <w:szCs w:val="28"/>
        </w:rPr>
        <w:t>奖学金评审；</w:t>
      </w:r>
      <w:r>
        <w:rPr>
          <w:rFonts w:hint="eastAsia" w:ascii="仿宋_GB2312" w:hAnsi="仿宋" w:eastAsia="仿宋_GB2312"/>
          <w:kern w:val="0"/>
          <w:sz w:val="24"/>
          <w:szCs w:val="28"/>
          <w:lang w:val="en-US" w:eastAsia="zh-CN"/>
        </w:rPr>
        <w:t>4</w:t>
      </w:r>
      <w:r>
        <w:rPr>
          <w:rFonts w:hint="eastAsia" w:ascii="仿宋_GB2312" w:hAnsi="仿宋" w:eastAsia="仿宋_GB2312"/>
          <w:kern w:val="0"/>
          <w:sz w:val="24"/>
          <w:szCs w:val="28"/>
        </w:rPr>
        <w:t>.考核年度有考试不及格、违纪、学术不端、欠费者取消评选资格。</w:t>
      </w:r>
    </w:p>
    <w:p>
      <w:pPr>
        <w:adjustRightInd w:val="0"/>
        <w:snapToGrid w:val="0"/>
        <w:spacing w:line="300" w:lineRule="exact"/>
        <w:rPr>
          <w:rFonts w:ascii="仿宋_GB2312" w:hAnsi="仿宋" w:eastAsia="仿宋_GB2312"/>
          <w:szCs w:val="21"/>
          <w:highlight w:val="none"/>
        </w:rPr>
      </w:pPr>
    </w:p>
    <w:p>
      <w:pPr>
        <w:adjustRightInd w:val="0"/>
        <w:snapToGrid w:val="0"/>
        <w:spacing w:line="300" w:lineRule="exact"/>
        <w:rPr>
          <w:rFonts w:ascii="仿宋_GB2312" w:hAnsi="仿宋" w:eastAsia="仿宋_GB2312"/>
          <w:szCs w:val="21"/>
          <w:highlight w:val="none"/>
        </w:rPr>
      </w:pPr>
    </w:p>
    <w:p>
      <w:pPr>
        <w:adjustRightInd w:val="0"/>
        <w:snapToGrid w:val="0"/>
        <w:spacing w:line="300" w:lineRule="exact"/>
        <w:rPr>
          <w:rFonts w:ascii="仿宋_GB2312" w:hAnsi="仿宋" w:eastAsia="仿宋_GB2312"/>
          <w:szCs w:val="21"/>
          <w:highlight w:val="none"/>
        </w:rPr>
      </w:pPr>
    </w:p>
    <w:p>
      <w:pPr>
        <w:adjustRightInd w:val="0"/>
        <w:snapToGrid w:val="0"/>
        <w:spacing w:line="300" w:lineRule="exact"/>
        <w:rPr>
          <w:rFonts w:ascii="仿宋_GB2312" w:hAnsi="仿宋" w:eastAsia="仿宋_GB2312"/>
          <w:szCs w:val="21"/>
          <w:highlight w:val="none"/>
        </w:rPr>
      </w:pPr>
    </w:p>
    <w:p>
      <w:pPr>
        <w:rPr>
          <w:highlight w:val="none"/>
        </w:rPr>
      </w:pPr>
    </w:p>
    <w:tbl>
      <w:tblPr>
        <w:tblStyle w:val="5"/>
        <w:tblpPr w:leftFromText="180" w:rightFromText="180" w:vertAnchor="text" w:horzAnchor="margin" w:tblpY="205"/>
        <w:tblOverlap w:val="never"/>
        <w:tblW w:w="10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0314" w:type="dxa"/>
            <w:vAlign w:val="center"/>
          </w:tcPr>
          <w:p>
            <w:pPr>
              <w:tabs>
                <w:tab w:val="left" w:pos="3817"/>
              </w:tabs>
              <w:spacing w:beforeAutospacing="0"/>
              <w:jc w:val="center"/>
              <w:rPr>
                <w:rFonts w:ascii="仿宋_GB2312" w:hAnsi="仿宋" w:eastAsia="仿宋_GB2312"/>
                <w:sz w:val="16"/>
                <w:szCs w:val="16"/>
                <w:highlight w:val="none"/>
              </w:rPr>
            </w:pPr>
            <w:r>
              <w:rPr>
                <w:rFonts w:hint="eastAsia" w:ascii="仿宋_GB2312" w:hAnsi="仿宋" w:eastAsia="仿宋_GB2312"/>
                <w:b/>
                <w:bCs/>
                <w:sz w:val="24"/>
                <w:szCs w:val="24"/>
                <w:highlight w:val="none"/>
              </w:rPr>
              <w:t>临床科研能力（总分请填在上一张表中临床科研能力分数位置）</w:t>
            </w:r>
          </w:p>
        </w:tc>
      </w:tr>
    </w:tbl>
    <w:tbl>
      <w:tblPr>
        <w:tblStyle w:val="5"/>
        <w:tblW w:w="10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2248"/>
        <w:gridCol w:w="6080"/>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62" w:type="dxa"/>
            <w:vAlign w:val="center"/>
          </w:tcPr>
          <w:p>
            <w:pPr>
              <w:spacing w:line="360" w:lineRule="exact"/>
              <w:jc w:val="center"/>
              <w:rPr>
                <w:rFonts w:ascii="仿宋_GB2312" w:hAnsi="仿宋" w:eastAsia="仿宋_GB2312" w:cs="Times"/>
                <w:b/>
                <w:bCs/>
                <w:kern w:val="1"/>
                <w:sz w:val="22"/>
                <w:szCs w:val="24"/>
              </w:rPr>
            </w:pPr>
            <w:r>
              <w:rPr>
                <w:rFonts w:hint="eastAsia" w:ascii="仿宋_GB2312" w:hAnsi="仿宋" w:eastAsia="仿宋_GB2312" w:cs="Times"/>
                <w:b/>
                <w:bCs/>
                <w:kern w:val="1"/>
                <w:sz w:val="22"/>
                <w:szCs w:val="24"/>
              </w:rPr>
              <w:t>赋分项目</w:t>
            </w:r>
          </w:p>
        </w:tc>
        <w:tc>
          <w:tcPr>
            <w:tcW w:w="8328" w:type="dxa"/>
            <w:gridSpan w:val="2"/>
            <w:vAlign w:val="center"/>
          </w:tcPr>
          <w:p>
            <w:pPr>
              <w:widowControl/>
              <w:autoSpaceDE w:val="0"/>
              <w:autoSpaceDN w:val="0"/>
              <w:adjustRightInd w:val="0"/>
              <w:spacing w:line="360" w:lineRule="exact"/>
              <w:jc w:val="center"/>
              <w:rPr>
                <w:rFonts w:ascii="仿宋_GB2312" w:hAnsi="仿宋" w:eastAsia="仿宋_GB2312" w:cs="Times"/>
                <w:b/>
                <w:bCs/>
                <w:kern w:val="0"/>
                <w:sz w:val="22"/>
                <w:szCs w:val="24"/>
              </w:rPr>
            </w:pPr>
            <w:r>
              <w:rPr>
                <w:rFonts w:hint="eastAsia" w:ascii="仿宋_GB2312" w:hAnsi="仿宋" w:eastAsia="仿宋_GB2312" w:cs="Times"/>
                <w:b/>
                <w:bCs/>
                <w:kern w:val="1"/>
                <w:sz w:val="22"/>
                <w:szCs w:val="24"/>
              </w:rPr>
              <w:t>赋分值</w:t>
            </w:r>
          </w:p>
        </w:tc>
        <w:tc>
          <w:tcPr>
            <w:tcW w:w="711" w:type="dxa"/>
            <w:vAlign w:val="center"/>
          </w:tcPr>
          <w:p>
            <w:pPr>
              <w:widowControl/>
              <w:autoSpaceDE w:val="0"/>
              <w:autoSpaceDN w:val="0"/>
              <w:adjustRightInd w:val="0"/>
              <w:spacing w:line="360" w:lineRule="exact"/>
              <w:jc w:val="center"/>
              <w:rPr>
                <w:rFonts w:ascii="仿宋_GB2312" w:hAnsi="仿宋" w:eastAsia="仿宋_GB2312" w:cs="Times"/>
                <w:b/>
                <w:bCs/>
                <w:kern w:val="0"/>
                <w:sz w:val="22"/>
                <w:szCs w:val="24"/>
              </w:rPr>
            </w:pPr>
            <w:r>
              <w:rPr>
                <w:rFonts w:hint="eastAsia" w:ascii="仿宋_GB2312" w:hAnsi="仿宋" w:eastAsia="仿宋_GB2312" w:cs="Times"/>
                <w:b/>
                <w:bCs/>
                <w:kern w:val="0"/>
                <w:sz w:val="22"/>
                <w:szCs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restart"/>
            <w:vAlign w:val="center"/>
          </w:tcPr>
          <w:p>
            <w:pPr>
              <w:spacing w:line="360" w:lineRule="exact"/>
              <w:jc w:val="center"/>
              <w:rPr>
                <w:rFonts w:hint="eastAsia" w:ascii="仿宋_GB2312" w:hAnsi="仿宋" w:eastAsia="仿宋_GB2312"/>
                <w:b/>
                <w:bCs/>
                <w:kern w:val="0"/>
                <w:sz w:val="22"/>
                <w:szCs w:val="24"/>
              </w:rPr>
            </w:pPr>
            <w:r>
              <w:rPr>
                <w:rFonts w:hint="eastAsia" w:ascii="仿宋_GB2312" w:hAnsi="仿宋" w:eastAsia="仿宋_GB2312"/>
                <w:b/>
                <w:bCs/>
                <w:kern w:val="0"/>
                <w:sz w:val="24"/>
                <w:szCs w:val="28"/>
              </w:rPr>
              <w:t>学术论文</w:t>
            </w:r>
          </w:p>
        </w:tc>
        <w:tc>
          <w:tcPr>
            <w:tcW w:w="2248" w:type="dxa"/>
            <w:vAlign w:val="center"/>
          </w:tcPr>
          <w:p>
            <w:pPr>
              <w:spacing w:line="360" w:lineRule="exact"/>
              <w:jc w:val="center"/>
              <w:rPr>
                <w:rFonts w:hint="eastAsia" w:ascii="仿宋_GB2312" w:hAnsi="仿宋" w:eastAsia="仿宋_GB2312"/>
                <w:kern w:val="0"/>
                <w:sz w:val="20"/>
                <w:szCs w:val="20"/>
              </w:rPr>
            </w:pPr>
            <w:r>
              <w:rPr>
                <w:rFonts w:hint="eastAsia" w:ascii="仿宋_GB2312" w:hAnsi="仿宋" w:eastAsia="仿宋_GB2312"/>
                <w:kern w:val="0"/>
                <w:sz w:val="20"/>
                <w:szCs w:val="20"/>
              </w:rPr>
              <w:t>SCI／EI</w:t>
            </w:r>
          </w:p>
        </w:tc>
        <w:tc>
          <w:tcPr>
            <w:tcW w:w="6080" w:type="dxa"/>
            <w:vAlign w:val="center"/>
          </w:tcPr>
          <w:p>
            <w:pPr>
              <w:spacing w:line="260" w:lineRule="exact"/>
              <w:jc w:val="left"/>
              <w:rPr>
                <w:rFonts w:ascii="仿宋_GB2312" w:hAnsi="仿宋" w:eastAsia="仿宋_GB2312"/>
                <w:sz w:val="20"/>
                <w:szCs w:val="20"/>
                <w:highlight w:val="none"/>
              </w:rPr>
            </w:pPr>
            <w:r>
              <w:rPr>
                <w:rFonts w:hint="eastAsia" w:ascii="仿宋_GB2312" w:hAnsi="仿宋" w:eastAsia="仿宋_GB2312"/>
                <w:sz w:val="20"/>
                <w:szCs w:val="20"/>
                <w:highlight w:val="none"/>
              </w:rPr>
              <w:t>I区论文：每篇分数=类型系数×（8+IF×作者系数）</w:t>
            </w:r>
          </w:p>
          <w:p>
            <w:pPr>
              <w:spacing w:line="260" w:lineRule="exact"/>
              <w:jc w:val="left"/>
              <w:rPr>
                <w:rFonts w:ascii="仿宋_GB2312" w:hAnsi="仿宋" w:eastAsia="仿宋_GB2312"/>
                <w:sz w:val="20"/>
                <w:szCs w:val="20"/>
                <w:highlight w:val="none"/>
              </w:rPr>
            </w:pPr>
            <w:r>
              <w:rPr>
                <w:rFonts w:hint="eastAsia" w:ascii="仿宋_GB2312" w:hAnsi="仿宋" w:eastAsia="仿宋_GB2312"/>
                <w:sz w:val="20"/>
                <w:szCs w:val="20"/>
                <w:highlight w:val="none"/>
              </w:rPr>
              <w:t>II区论文：每篇分数=类型系数×（5+IF×作者系数）</w:t>
            </w:r>
          </w:p>
          <w:p>
            <w:pPr>
              <w:spacing w:line="260" w:lineRule="exact"/>
              <w:jc w:val="left"/>
              <w:rPr>
                <w:rFonts w:ascii="仿宋_GB2312" w:hAnsi="仿宋" w:eastAsia="仿宋_GB2312"/>
                <w:sz w:val="20"/>
                <w:szCs w:val="20"/>
                <w:highlight w:val="none"/>
              </w:rPr>
            </w:pPr>
            <w:r>
              <w:rPr>
                <w:rFonts w:hint="eastAsia" w:ascii="仿宋_GB2312" w:hAnsi="仿宋" w:eastAsia="仿宋_GB2312"/>
                <w:sz w:val="20"/>
                <w:szCs w:val="20"/>
                <w:highlight w:val="none"/>
              </w:rPr>
              <w:t>III区论文：每篇分数=类型系数×（2+IF×作者系数）</w:t>
            </w:r>
          </w:p>
          <w:p>
            <w:pPr>
              <w:spacing w:line="260" w:lineRule="exact"/>
              <w:jc w:val="left"/>
              <w:rPr>
                <w:rFonts w:hint="eastAsia" w:ascii="仿宋_GB2312" w:hAnsi="仿宋" w:eastAsia="仿宋_GB2312"/>
                <w:b/>
                <w:bCs/>
                <w:sz w:val="20"/>
                <w:szCs w:val="20"/>
                <w:highlight w:val="none"/>
                <w:lang w:val="en-US" w:eastAsia="zh-CN"/>
              </w:rPr>
            </w:pPr>
            <w:r>
              <w:rPr>
                <w:rFonts w:hint="eastAsia" w:ascii="仿宋_GB2312" w:hAnsi="仿宋" w:eastAsia="仿宋_GB2312"/>
                <w:sz w:val="20"/>
                <w:szCs w:val="20"/>
                <w:highlight w:val="none"/>
              </w:rPr>
              <w:t>IV区论文：每篇分数=类型系数×2×作者系数</w:t>
            </w:r>
          </w:p>
          <w:p>
            <w:pPr>
              <w:spacing w:line="260" w:lineRule="exact"/>
              <w:jc w:val="left"/>
              <w:rPr>
                <w:rFonts w:hint="eastAsia" w:ascii="仿宋_GB2312" w:hAnsi="仿宋" w:eastAsia="仿宋_GB2312"/>
                <w:b/>
                <w:bCs/>
                <w:sz w:val="20"/>
                <w:szCs w:val="20"/>
                <w:highlight w:val="none"/>
              </w:rPr>
            </w:pPr>
            <w:r>
              <w:rPr>
                <w:rFonts w:hint="eastAsia" w:ascii="仿宋_GB2312" w:hAnsi="仿宋" w:eastAsia="仿宋_GB2312"/>
                <w:b/>
                <w:bCs/>
                <w:sz w:val="20"/>
                <w:szCs w:val="20"/>
                <w:highlight w:val="none"/>
                <w:lang w:val="en-US" w:eastAsia="zh-CN"/>
              </w:rPr>
              <w:t>分区标准及查询方式：</w:t>
            </w:r>
            <w:r>
              <w:rPr>
                <w:rFonts w:hint="eastAsia" w:ascii="仿宋_GB2312" w:hAnsi="仿宋" w:eastAsia="仿宋_GB2312"/>
                <w:sz w:val="20"/>
                <w:szCs w:val="20"/>
                <w:highlight w:val="none"/>
              </w:rPr>
              <w:t>以中科院影响因子为准，结合中科院分区综合评定。</w:t>
            </w:r>
            <w:r>
              <w:rPr>
                <w:rFonts w:hint="eastAsia" w:ascii="仿宋_GB2312" w:hAnsi="仿宋" w:eastAsia="仿宋_GB2312"/>
                <w:sz w:val="20"/>
                <w:szCs w:val="20"/>
                <w:highlight w:val="none"/>
                <w:lang w:eastAsia="zh-CN"/>
              </w:rPr>
              <w:t>（</w:t>
            </w:r>
            <w:r>
              <w:rPr>
                <w:rFonts w:hint="eastAsia" w:ascii="仿宋_GB2312" w:hAnsi="仿宋" w:eastAsia="仿宋_GB2312"/>
                <w:sz w:val="20"/>
                <w:szCs w:val="20"/>
                <w:highlight w:val="none"/>
                <w:lang w:val="en-US" w:eastAsia="zh-CN"/>
              </w:rPr>
              <w:t>查询分区方式：微信小程序“中国科学院文献情报中心期刊分区表—2021年基础版”</w:t>
            </w:r>
            <w:r>
              <w:rPr>
                <w:rFonts w:hint="eastAsia" w:ascii="仿宋_GB2312" w:hAnsi="仿宋" w:eastAsia="仿宋_GB2312"/>
                <w:sz w:val="20"/>
                <w:szCs w:val="20"/>
                <w:highlight w:val="none"/>
                <w:lang w:eastAsia="zh-CN"/>
              </w:rPr>
              <w:t>）</w:t>
            </w:r>
          </w:p>
          <w:p>
            <w:pPr>
              <w:spacing w:line="260" w:lineRule="exact"/>
              <w:jc w:val="left"/>
              <w:rPr>
                <w:rFonts w:hint="default" w:ascii="仿宋_GB2312" w:hAnsi="仿宋" w:eastAsia="仿宋_GB2312"/>
                <w:b/>
                <w:bCs/>
                <w:sz w:val="20"/>
                <w:szCs w:val="20"/>
                <w:highlight w:val="none"/>
                <w:lang w:val="en-US" w:eastAsia="zh-CN"/>
              </w:rPr>
            </w:pPr>
            <w:r>
              <w:rPr>
                <w:rFonts w:hint="eastAsia" w:ascii="仿宋_GB2312" w:hAnsi="仿宋" w:eastAsia="仿宋_GB2312"/>
                <w:b/>
                <w:bCs/>
                <w:sz w:val="20"/>
                <w:szCs w:val="20"/>
                <w:highlight w:val="none"/>
              </w:rPr>
              <w:t>作者系数：</w:t>
            </w:r>
            <w:r>
              <w:rPr>
                <w:rFonts w:hint="eastAsia" w:ascii="仿宋_GB2312" w:hAnsi="仿宋" w:eastAsia="仿宋_GB2312"/>
                <w:b w:val="0"/>
                <w:bCs w:val="0"/>
                <w:sz w:val="20"/>
                <w:szCs w:val="20"/>
                <w:highlight w:val="none"/>
                <w:lang w:val="en-US" w:eastAsia="zh-CN"/>
              </w:rPr>
              <w:t>仅赋分第一作者和通讯作者，有共同作者的仅赋分前三人，其余作者不计分。</w:t>
            </w:r>
          </w:p>
          <w:p>
            <w:pPr>
              <w:spacing w:line="260" w:lineRule="exact"/>
              <w:jc w:val="left"/>
              <w:rPr>
                <w:rFonts w:hint="eastAsia" w:ascii="仿宋_GB2312" w:hAnsi="仿宋" w:eastAsia="仿宋_GB2312"/>
                <w:sz w:val="20"/>
                <w:szCs w:val="20"/>
                <w:highlight w:val="none"/>
              </w:rPr>
            </w:pPr>
            <w:r>
              <w:rPr>
                <w:rFonts w:hint="eastAsia" w:ascii="仿宋_GB2312" w:hAnsi="仿宋" w:eastAsia="仿宋_GB2312"/>
                <w:sz w:val="20"/>
                <w:szCs w:val="20"/>
                <w:highlight w:val="none"/>
                <w:lang w:val="en-US" w:eastAsia="zh-CN"/>
              </w:rPr>
              <w:t>第一作者第1位/通讯作者第1位</w:t>
            </w:r>
            <w:r>
              <w:rPr>
                <w:rFonts w:hint="eastAsia" w:ascii="仿宋_GB2312" w:hAnsi="仿宋" w:eastAsia="仿宋_GB2312"/>
                <w:sz w:val="20"/>
                <w:szCs w:val="20"/>
                <w:highlight w:val="none"/>
              </w:rPr>
              <w:t xml:space="preserve"> 1.0，</w:t>
            </w:r>
          </w:p>
          <w:p>
            <w:pPr>
              <w:spacing w:line="260" w:lineRule="exact"/>
              <w:jc w:val="left"/>
              <w:rPr>
                <w:rFonts w:hint="eastAsia" w:ascii="仿宋_GB2312" w:hAnsi="仿宋" w:eastAsia="仿宋_GB2312"/>
                <w:sz w:val="20"/>
                <w:szCs w:val="20"/>
                <w:highlight w:val="none"/>
              </w:rPr>
            </w:pPr>
            <w:r>
              <w:rPr>
                <w:rFonts w:hint="eastAsia" w:ascii="仿宋_GB2312" w:hAnsi="仿宋" w:eastAsia="仿宋_GB2312"/>
                <w:sz w:val="20"/>
                <w:szCs w:val="20"/>
                <w:highlight w:val="none"/>
              </w:rPr>
              <w:t>并列第一作者的第2位/并列通讯作者的第2位 0.8，</w:t>
            </w:r>
          </w:p>
          <w:p>
            <w:pPr>
              <w:spacing w:line="260" w:lineRule="exact"/>
              <w:jc w:val="left"/>
              <w:rPr>
                <w:rFonts w:hint="eastAsia" w:ascii="仿宋_GB2312" w:hAnsi="仿宋" w:eastAsia="仿宋_GB2312"/>
                <w:b/>
                <w:bCs/>
                <w:sz w:val="20"/>
                <w:szCs w:val="20"/>
                <w:highlight w:val="none"/>
              </w:rPr>
            </w:pPr>
            <w:r>
              <w:rPr>
                <w:rFonts w:hint="eastAsia" w:ascii="仿宋_GB2312" w:hAnsi="仿宋" w:eastAsia="仿宋_GB2312"/>
                <w:sz w:val="20"/>
                <w:szCs w:val="20"/>
                <w:highlight w:val="none"/>
              </w:rPr>
              <w:t>并列第一作者的第3位/并列通讯作者的第3位 0.7</w:t>
            </w:r>
            <w:r>
              <w:rPr>
                <w:rFonts w:hint="eastAsia" w:ascii="仿宋_GB2312" w:hAnsi="仿宋" w:eastAsia="仿宋_GB2312"/>
                <w:sz w:val="20"/>
                <w:szCs w:val="20"/>
                <w:highlight w:val="none"/>
                <w:lang w:eastAsia="zh-CN"/>
              </w:rPr>
              <w:t>。</w:t>
            </w:r>
          </w:p>
          <w:p>
            <w:pPr>
              <w:spacing w:line="260" w:lineRule="exact"/>
              <w:jc w:val="left"/>
              <w:rPr>
                <w:rFonts w:ascii="仿宋_GB2312" w:hAnsi="仿宋" w:eastAsia="仿宋_GB2312"/>
                <w:sz w:val="20"/>
                <w:szCs w:val="20"/>
              </w:rPr>
            </w:pPr>
            <w:r>
              <w:rPr>
                <w:rFonts w:hint="eastAsia" w:ascii="仿宋_GB2312" w:hAnsi="仿宋" w:eastAsia="仿宋_GB2312"/>
                <w:b/>
                <w:bCs/>
                <w:sz w:val="20"/>
                <w:szCs w:val="20"/>
                <w:highlight w:val="none"/>
              </w:rPr>
              <w:t>类型系数：</w:t>
            </w:r>
            <w:r>
              <w:rPr>
                <w:rFonts w:hint="eastAsia" w:ascii="仿宋_GB2312" w:hAnsi="仿宋" w:eastAsia="仿宋_GB2312"/>
                <w:sz w:val="20"/>
                <w:szCs w:val="20"/>
                <w:highlight w:val="none"/>
              </w:rPr>
              <w:t>论著类系数为1；</w:t>
            </w:r>
            <w:r>
              <w:rPr>
                <w:rFonts w:hint="eastAsia" w:ascii="仿宋_GB2312" w:hAnsi="仿宋" w:eastAsia="仿宋_GB2312"/>
                <w:sz w:val="20"/>
                <w:szCs w:val="20"/>
                <w:highlight w:val="none"/>
                <w:lang w:val="en-US" w:eastAsia="zh-CN"/>
              </w:rPr>
              <w:t>非论著类系数为0.5。</w:t>
            </w:r>
          </w:p>
        </w:tc>
        <w:tc>
          <w:tcPr>
            <w:tcW w:w="711" w:type="dxa"/>
            <w:vAlign w:val="center"/>
          </w:tcPr>
          <w:p>
            <w:pPr>
              <w:widowControl/>
              <w:jc w:val="left"/>
              <w:rPr>
                <w:rFonts w:ascii="仿宋_GB2312" w:hAnsi="仿宋" w:eastAsia="仿宋_GB2312"/>
                <w:kern w:val="0"/>
                <w:sz w:val="24"/>
                <w:szCs w:val="24"/>
              </w:rPr>
            </w:pPr>
          </w:p>
          <w:p>
            <w:pPr>
              <w:widowControl/>
              <w:jc w:val="left"/>
              <w:rPr>
                <w:rFonts w:ascii="仿宋_GB2312" w:hAnsi="仿宋" w:eastAsia="仿宋_GB2312"/>
                <w:kern w:val="0"/>
                <w:sz w:val="24"/>
                <w:szCs w:val="24"/>
              </w:rPr>
            </w:pPr>
          </w:p>
          <w:p>
            <w:pPr>
              <w:widowControl/>
              <w:jc w:val="left"/>
              <w:rPr>
                <w:rFonts w:ascii="仿宋_GB2312" w:hAnsi="仿宋" w:eastAsia="仿宋_GB2312"/>
                <w:kern w:val="0"/>
                <w:sz w:val="24"/>
                <w:szCs w:val="24"/>
              </w:rPr>
            </w:pPr>
          </w:p>
          <w:p>
            <w:pPr>
              <w:spacing w:line="2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62" w:type="dxa"/>
            <w:vMerge w:val="continue"/>
            <w:vAlign w:val="center"/>
          </w:tcPr>
          <w:p>
            <w:pPr>
              <w:spacing w:line="360" w:lineRule="exact"/>
              <w:jc w:val="center"/>
              <w:rPr>
                <w:rFonts w:hint="eastAsia" w:ascii="仿宋_GB2312" w:hAnsi="仿宋" w:eastAsia="仿宋_GB2312"/>
                <w:b/>
                <w:bCs/>
                <w:kern w:val="0"/>
                <w:sz w:val="22"/>
                <w:szCs w:val="24"/>
              </w:rPr>
            </w:pPr>
          </w:p>
        </w:tc>
        <w:tc>
          <w:tcPr>
            <w:tcW w:w="2248" w:type="dxa"/>
            <w:vAlign w:val="center"/>
          </w:tcPr>
          <w:p>
            <w:pPr>
              <w:spacing w:line="360" w:lineRule="exact"/>
              <w:jc w:val="center"/>
              <w:rPr>
                <w:rFonts w:hint="eastAsia" w:ascii="仿宋_GB2312" w:hAnsi="仿宋" w:eastAsia="仿宋_GB2312"/>
                <w:kern w:val="0"/>
                <w:sz w:val="20"/>
                <w:szCs w:val="20"/>
              </w:rPr>
            </w:pPr>
            <w:r>
              <w:rPr>
                <w:rFonts w:hint="eastAsia" w:ascii="仿宋_GB2312" w:hAnsi="仿宋" w:eastAsia="仿宋_GB2312"/>
                <w:kern w:val="0"/>
                <w:sz w:val="20"/>
                <w:szCs w:val="20"/>
              </w:rPr>
              <w:t>中华系列期刊</w:t>
            </w:r>
          </w:p>
        </w:tc>
        <w:tc>
          <w:tcPr>
            <w:tcW w:w="6080" w:type="dxa"/>
            <w:vAlign w:val="center"/>
          </w:tcPr>
          <w:p>
            <w:pPr>
              <w:spacing w:line="360" w:lineRule="exact"/>
              <w:jc w:val="center"/>
              <w:rPr>
                <w:rFonts w:hint="eastAsia" w:ascii="仿宋_GB2312" w:hAnsi="仿宋" w:eastAsia="仿宋_GB2312"/>
                <w:kern w:val="0"/>
                <w:sz w:val="20"/>
                <w:szCs w:val="20"/>
              </w:rPr>
            </w:pPr>
            <w:r>
              <w:rPr>
                <w:rFonts w:hint="eastAsia" w:ascii="仿宋_GB2312" w:hAnsi="仿宋" w:eastAsia="仿宋_GB2312"/>
                <w:kern w:val="0"/>
                <w:sz w:val="20"/>
                <w:szCs w:val="20"/>
              </w:rPr>
              <w:t>每篇分数=3（仅限</w:t>
            </w:r>
            <w:r>
              <w:rPr>
                <w:rFonts w:hint="eastAsia" w:ascii="仿宋_GB2312" w:hAnsi="仿宋" w:eastAsia="仿宋_GB2312"/>
                <w:kern w:val="0"/>
                <w:sz w:val="20"/>
                <w:szCs w:val="20"/>
                <w:lang w:val="en-US" w:eastAsia="zh-CN"/>
              </w:rPr>
              <w:t>一作或通讯一作</w:t>
            </w:r>
            <w:r>
              <w:rPr>
                <w:rFonts w:hint="eastAsia" w:ascii="仿宋_GB2312" w:hAnsi="仿宋" w:eastAsia="仿宋_GB2312"/>
                <w:kern w:val="0"/>
                <w:sz w:val="20"/>
                <w:szCs w:val="20"/>
              </w:rPr>
              <w:t>）</w:t>
            </w:r>
          </w:p>
        </w:tc>
        <w:tc>
          <w:tcPr>
            <w:tcW w:w="711" w:type="dxa"/>
            <w:vAlign w:val="center"/>
          </w:tcPr>
          <w:p>
            <w:pPr>
              <w:spacing w:line="2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vAlign w:val="center"/>
          </w:tcPr>
          <w:p>
            <w:pPr>
              <w:spacing w:line="360" w:lineRule="exact"/>
              <w:jc w:val="center"/>
              <w:rPr>
                <w:rFonts w:hint="eastAsia" w:ascii="仿宋_GB2312" w:hAnsi="仿宋" w:eastAsia="仿宋_GB2312"/>
                <w:kern w:val="0"/>
                <w:sz w:val="20"/>
                <w:szCs w:val="20"/>
              </w:rPr>
            </w:pPr>
            <w:r>
              <w:rPr>
                <w:rFonts w:hint="eastAsia" w:ascii="仿宋_GB2312" w:hAnsi="仿宋" w:eastAsia="仿宋_GB2312"/>
                <w:kern w:val="0"/>
                <w:sz w:val="20"/>
                <w:szCs w:val="20"/>
              </w:rPr>
              <w:t>北大版中文核心期刊</w:t>
            </w:r>
          </w:p>
        </w:tc>
        <w:tc>
          <w:tcPr>
            <w:tcW w:w="6080" w:type="dxa"/>
            <w:vAlign w:val="center"/>
          </w:tcPr>
          <w:p>
            <w:pPr>
              <w:spacing w:line="360" w:lineRule="exact"/>
              <w:jc w:val="center"/>
              <w:rPr>
                <w:rFonts w:hint="eastAsia" w:ascii="仿宋_GB2312" w:hAnsi="仿宋" w:eastAsia="仿宋_GB2312"/>
                <w:kern w:val="0"/>
                <w:sz w:val="20"/>
                <w:szCs w:val="20"/>
              </w:rPr>
            </w:pPr>
            <w:r>
              <w:rPr>
                <w:rFonts w:hint="eastAsia" w:ascii="仿宋_GB2312" w:hAnsi="仿宋" w:eastAsia="仿宋_GB2312"/>
                <w:kern w:val="0"/>
                <w:sz w:val="20"/>
                <w:szCs w:val="20"/>
              </w:rPr>
              <w:t>每篇分数=2（仅限</w:t>
            </w:r>
            <w:r>
              <w:rPr>
                <w:rFonts w:hint="eastAsia" w:ascii="仿宋_GB2312" w:hAnsi="仿宋" w:eastAsia="仿宋_GB2312"/>
                <w:kern w:val="0"/>
                <w:sz w:val="20"/>
                <w:szCs w:val="20"/>
                <w:lang w:val="en-US" w:eastAsia="zh-CN"/>
              </w:rPr>
              <w:t>一作或通讯一作</w:t>
            </w:r>
            <w:r>
              <w:rPr>
                <w:rFonts w:hint="eastAsia" w:ascii="仿宋_GB2312" w:hAnsi="仿宋" w:eastAsia="仿宋_GB2312"/>
                <w:kern w:val="0"/>
                <w:sz w:val="20"/>
                <w:szCs w:val="20"/>
              </w:rPr>
              <w:t>）</w:t>
            </w:r>
          </w:p>
        </w:tc>
        <w:tc>
          <w:tcPr>
            <w:tcW w:w="711" w:type="dxa"/>
            <w:vAlign w:val="center"/>
          </w:tcPr>
          <w:p>
            <w:pPr>
              <w:spacing w:line="2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262" w:type="dxa"/>
            <w:vMerge w:val="continue"/>
            <w:vAlign w:val="center"/>
          </w:tcPr>
          <w:p>
            <w:pPr>
              <w:spacing w:line="360" w:lineRule="exact"/>
              <w:jc w:val="center"/>
              <w:rPr>
                <w:rFonts w:hint="eastAsia" w:ascii="仿宋_GB2312" w:hAnsi="仿宋" w:eastAsia="仿宋_GB2312"/>
                <w:b/>
                <w:bCs/>
                <w:kern w:val="0"/>
                <w:sz w:val="24"/>
                <w:szCs w:val="28"/>
              </w:rPr>
            </w:pPr>
          </w:p>
        </w:tc>
        <w:tc>
          <w:tcPr>
            <w:tcW w:w="2248" w:type="dxa"/>
            <w:vAlign w:val="center"/>
          </w:tcPr>
          <w:p>
            <w:pPr>
              <w:spacing w:line="360" w:lineRule="exact"/>
              <w:jc w:val="center"/>
              <w:rPr>
                <w:rFonts w:hint="default" w:ascii="仿宋_GB2312" w:hAnsi="仿宋" w:eastAsia="仿宋_GB2312"/>
                <w:kern w:val="0"/>
                <w:sz w:val="20"/>
                <w:szCs w:val="20"/>
                <w:lang w:val="en-US" w:eastAsia="zh-CN"/>
              </w:rPr>
            </w:pPr>
            <w:r>
              <w:rPr>
                <w:rFonts w:hint="eastAsia" w:ascii="仿宋_GB2312" w:hAnsi="仿宋" w:eastAsia="仿宋_GB2312"/>
                <w:kern w:val="0"/>
                <w:sz w:val="20"/>
                <w:szCs w:val="20"/>
                <w:lang w:val="en-US" w:eastAsia="zh-CN"/>
              </w:rPr>
              <w:t>统计源期刊</w:t>
            </w:r>
          </w:p>
        </w:tc>
        <w:tc>
          <w:tcPr>
            <w:tcW w:w="6080" w:type="dxa"/>
            <w:vAlign w:val="center"/>
          </w:tcPr>
          <w:p>
            <w:pPr>
              <w:spacing w:line="360" w:lineRule="exact"/>
              <w:jc w:val="center"/>
              <w:rPr>
                <w:rFonts w:hint="eastAsia" w:ascii="仿宋_GB2312" w:hAnsi="仿宋" w:eastAsia="仿宋_GB2312"/>
                <w:sz w:val="20"/>
                <w:szCs w:val="20"/>
              </w:rPr>
            </w:pPr>
            <w:r>
              <w:rPr>
                <w:rFonts w:hint="eastAsia" w:ascii="仿宋_GB2312" w:hAnsi="仿宋" w:eastAsia="仿宋_GB2312"/>
                <w:sz w:val="20"/>
                <w:szCs w:val="20"/>
              </w:rPr>
              <w:t>每篇分数=</w:t>
            </w:r>
            <w:r>
              <w:rPr>
                <w:rFonts w:hint="eastAsia" w:ascii="仿宋_GB2312" w:hAnsi="仿宋" w:eastAsia="仿宋_GB2312"/>
                <w:sz w:val="20"/>
                <w:szCs w:val="20"/>
                <w:lang w:val="en-US" w:eastAsia="zh-CN"/>
              </w:rPr>
              <w:t>0.5</w:t>
            </w:r>
            <w:r>
              <w:rPr>
                <w:rFonts w:hint="eastAsia" w:ascii="仿宋_GB2312" w:hAnsi="仿宋" w:eastAsia="仿宋_GB2312"/>
                <w:sz w:val="20"/>
                <w:szCs w:val="20"/>
              </w:rPr>
              <w:t>（仅限</w:t>
            </w:r>
            <w:r>
              <w:rPr>
                <w:rFonts w:hint="eastAsia" w:ascii="仿宋_GB2312" w:hAnsi="仿宋" w:eastAsia="仿宋_GB2312"/>
                <w:sz w:val="20"/>
                <w:szCs w:val="20"/>
                <w:lang w:val="en-US" w:eastAsia="zh-CN"/>
              </w:rPr>
              <w:t>一作或</w:t>
            </w:r>
            <w:r>
              <w:rPr>
                <w:rFonts w:hint="eastAsia" w:ascii="仿宋_GB2312" w:hAnsi="仿宋" w:eastAsia="仿宋_GB2312"/>
                <w:kern w:val="0"/>
                <w:sz w:val="20"/>
                <w:szCs w:val="20"/>
                <w:lang w:val="en-US" w:eastAsia="zh-CN"/>
              </w:rPr>
              <w:t>通讯一作</w:t>
            </w:r>
            <w:r>
              <w:rPr>
                <w:rFonts w:hint="eastAsia" w:ascii="仿宋_GB2312" w:hAnsi="仿宋" w:eastAsia="仿宋_GB2312"/>
                <w:sz w:val="20"/>
                <w:szCs w:val="20"/>
              </w:rPr>
              <w:t>）</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continue"/>
            <w:vAlign w:val="center"/>
          </w:tcPr>
          <w:p>
            <w:pPr>
              <w:spacing w:line="360" w:lineRule="exact"/>
              <w:jc w:val="center"/>
              <w:rPr>
                <w:rFonts w:hint="eastAsia" w:ascii="仿宋_GB2312" w:hAnsi="仿宋" w:eastAsia="仿宋_GB2312"/>
                <w:b/>
                <w:bCs/>
                <w:kern w:val="0"/>
                <w:sz w:val="24"/>
                <w:szCs w:val="28"/>
              </w:rPr>
            </w:pPr>
          </w:p>
        </w:tc>
        <w:tc>
          <w:tcPr>
            <w:tcW w:w="8328" w:type="dxa"/>
            <w:gridSpan w:val="2"/>
            <w:vAlign w:val="center"/>
          </w:tcPr>
          <w:p>
            <w:pPr>
              <w:spacing w:line="360" w:lineRule="exact"/>
              <w:jc w:val="left"/>
              <w:rPr>
                <w:rFonts w:hint="eastAsia" w:ascii="仿宋_GB2312" w:hAnsi="仿宋" w:eastAsia="仿宋_GB2312"/>
                <w:sz w:val="20"/>
                <w:szCs w:val="20"/>
              </w:rPr>
            </w:pPr>
            <w:r>
              <w:rPr>
                <w:rFonts w:hint="eastAsia" w:ascii="仿宋_GB2312" w:hAnsi="仿宋" w:eastAsia="仿宋_GB2312"/>
                <w:color w:val="262626"/>
                <w:w w:val="90"/>
                <w:kern w:val="0"/>
                <w:sz w:val="20"/>
                <w:szCs w:val="20"/>
                <w:lang w:val="en-US" w:eastAsia="zh-CN"/>
              </w:rPr>
              <w:t>注：</w:t>
            </w:r>
            <w:r>
              <w:rPr>
                <w:rFonts w:hint="eastAsia" w:ascii="仿宋_GB2312" w:hAnsi="仿宋" w:eastAsia="仿宋_GB2312"/>
                <w:color w:val="262626"/>
                <w:w w:val="90"/>
                <w:kern w:val="0"/>
                <w:sz w:val="20"/>
                <w:szCs w:val="20"/>
              </w:rPr>
              <w:t>不包括刊登在会议论文集上的论文，也不包括增刊、副刊</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rPr>
              <w:t>专利专著</w:t>
            </w:r>
          </w:p>
        </w:tc>
        <w:tc>
          <w:tcPr>
            <w:tcW w:w="2248" w:type="dxa"/>
            <w:vMerge w:val="restart"/>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学术专著</w:t>
            </w:r>
          </w:p>
        </w:tc>
        <w:tc>
          <w:tcPr>
            <w:tcW w:w="6080" w:type="dxa"/>
            <w:vAlign w:val="center"/>
          </w:tcPr>
          <w:p>
            <w:pPr>
              <w:spacing w:line="360" w:lineRule="exact"/>
              <w:jc w:val="left"/>
              <w:rPr>
                <w:rFonts w:ascii="仿宋_GB2312" w:hAnsi="仿宋" w:eastAsia="仿宋_GB2312"/>
                <w:sz w:val="20"/>
                <w:szCs w:val="20"/>
              </w:rPr>
            </w:pPr>
            <w:r>
              <w:rPr>
                <w:rFonts w:hint="eastAsia" w:ascii="仿宋_GB2312" w:hAnsi="仿宋" w:eastAsia="仿宋_GB2312"/>
                <w:sz w:val="20"/>
                <w:szCs w:val="20"/>
              </w:rPr>
              <w:t>主编5分   （人卫社著作额外加5分）</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vMerge w:val="continue"/>
            <w:vAlign w:val="center"/>
          </w:tcPr>
          <w:p>
            <w:pPr>
              <w:spacing w:line="360" w:lineRule="exact"/>
              <w:jc w:val="center"/>
              <w:rPr>
                <w:rFonts w:ascii="仿宋_GB2312" w:hAnsi="仿宋" w:eastAsia="仿宋_GB2312"/>
                <w:kern w:val="0"/>
                <w:sz w:val="20"/>
                <w:szCs w:val="20"/>
              </w:rPr>
            </w:pPr>
          </w:p>
        </w:tc>
        <w:tc>
          <w:tcPr>
            <w:tcW w:w="6080" w:type="dxa"/>
            <w:vAlign w:val="center"/>
          </w:tcPr>
          <w:p>
            <w:pPr>
              <w:spacing w:line="360" w:lineRule="exact"/>
              <w:jc w:val="left"/>
              <w:rPr>
                <w:rFonts w:ascii="仿宋_GB2312" w:hAnsi="仿宋" w:eastAsia="仿宋_GB2312"/>
                <w:sz w:val="20"/>
                <w:szCs w:val="20"/>
              </w:rPr>
            </w:pPr>
            <w:r>
              <w:rPr>
                <w:rFonts w:hint="eastAsia" w:ascii="仿宋_GB2312" w:hAnsi="仿宋" w:eastAsia="仿宋_GB2312"/>
                <w:sz w:val="20"/>
                <w:szCs w:val="20"/>
              </w:rPr>
              <w:t>副主编3分 （人卫社著作额外加3分）</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vMerge w:val="continue"/>
            <w:vAlign w:val="center"/>
          </w:tcPr>
          <w:p>
            <w:pPr>
              <w:spacing w:line="360" w:lineRule="exact"/>
              <w:jc w:val="center"/>
              <w:rPr>
                <w:rFonts w:ascii="仿宋_GB2312" w:hAnsi="仿宋" w:eastAsia="仿宋_GB2312"/>
                <w:kern w:val="0"/>
                <w:sz w:val="20"/>
                <w:szCs w:val="20"/>
              </w:rPr>
            </w:pPr>
          </w:p>
        </w:tc>
        <w:tc>
          <w:tcPr>
            <w:tcW w:w="6080" w:type="dxa"/>
            <w:vAlign w:val="center"/>
          </w:tcPr>
          <w:p>
            <w:pPr>
              <w:spacing w:line="360" w:lineRule="exact"/>
              <w:jc w:val="left"/>
              <w:rPr>
                <w:rFonts w:ascii="仿宋_GB2312" w:hAnsi="仿宋" w:eastAsia="仿宋_GB2312"/>
                <w:sz w:val="20"/>
                <w:szCs w:val="20"/>
              </w:rPr>
            </w:pPr>
            <w:r>
              <w:rPr>
                <w:rFonts w:hint="eastAsia" w:ascii="仿宋_GB2312" w:hAnsi="仿宋" w:eastAsia="仿宋_GB2312"/>
                <w:sz w:val="20"/>
                <w:szCs w:val="20"/>
              </w:rPr>
              <w:t>参编2     （人卫社著作额外加2分）</w:t>
            </w:r>
          </w:p>
        </w:tc>
        <w:tc>
          <w:tcPr>
            <w:tcW w:w="711" w:type="dxa"/>
            <w:vAlign w:val="center"/>
          </w:tcPr>
          <w:p>
            <w:pPr>
              <w:spacing w:line="360" w:lineRule="exact"/>
              <w:jc w:val="lef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发明专利（授权）</w:t>
            </w:r>
          </w:p>
        </w:tc>
        <w:tc>
          <w:tcPr>
            <w:tcW w:w="6080" w:type="dxa"/>
            <w:vAlign w:val="center"/>
          </w:tcPr>
          <w:p>
            <w:pPr>
              <w:spacing w:line="360" w:lineRule="exact"/>
              <w:jc w:val="left"/>
              <w:rPr>
                <w:rFonts w:ascii="仿宋_GB2312" w:hAnsi="仿宋" w:eastAsia="仿宋_GB2312"/>
                <w:kern w:val="0"/>
                <w:sz w:val="20"/>
                <w:szCs w:val="20"/>
              </w:rPr>
            </w:pPr>
            <w:r>
              <w:rPr>
                <w:rFonts w:hint="eastAsia" w:ascii="仿宋_GB2312" w:hAnsi="仿宋" w:eastAsia="仿宋_GB2312"/>
                <w:sz w:val="20"/>
                <w:szCs w:val="20"/>
              </w:rPr>
              <w:t>第一发明人5分，第二发明人4分，其余参与者赋2分</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262" w:type="dxa"/>
            <w:vMerge w:val="continue"/>
            <w:vAlign w:val="center"/>
          </w:tcPr>
          <w:p>
            <w:pPr>
              <w:spacing w:line="360" w:lineRule="exact"/>
              <w:jc w:val="center"/>
              <w:rPr>
                <w:rFonts w:ascii="仿宋_GB2312" w:hAnsi="仿宋" w:eastAsia="仿宋_GB2312"/>
                <w:b/>
                <w:bCs/>
                <w:kern w:val="0"/>
                <w:sz w:val="24"/>
                <w:szCs w:val="28"/>
              </w:rPr>
            </w:pP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实用新型专利（授权）</w:t>
            </w:r>
          </w:p>
        </w:tc>
        <w:tc>
          <w:tcPr>
            <w:tcW w:w="6080" w:type="dxa"/>
            <w:vAlign w:val="center"/>
          </w:tcPr>
          <w:p>
            <w:pPr>
              <w:spacing w:line="360" w:lineRule="exact"/>
              <w:jc w:val="left"/>
              <w:rPr>
                <w:rFonts w:ascii="仿宋_GB2312" w:hAnsi="仿宋" w:eastAsia="仿宋_GB2312"/>
                <w:sz w:val="20"/>
                <w:szCs w:val="20"/>
              </w:rPr>
            </w:pPr>
            <w:r>
              <w:rPr>
                <w:rFonts w:hint="eastAsia" w:ascii="仿宋_GB2312" w:hAnsi="仿宋" w:eastAsia="仿宋_GB2312"/>
                <w:sz w:val="20"/>
                <w:szCs w:val="20"/>
              </w:rPr>
              <w:t>第一发明人3分，第二发明人2分，其余参与者赋1分</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rPr>
              <w:t>科研项目</w:t>
            </w:r>
          </w:p>
          <w:p>
            <w:pPr>
              <w:spacing w:line="360" w:lineRule="exact"/>
              <w:jc w:val="center"/>
              <w:rPr>
                <w:rFonts w:hint="eastAsia" w:ascii="仿宋_GB2312" w:hAnsi="仿宋" w:eastAsia="仿宋_GB2312"/>
                <w:b/>
                <w:bCs/>
                <w:kern w:val="0"/>
                <w:sz w:val="24"/>
                <w:szCs w:val="28"/>
                <w:lang w:eastAsia="zh-CN"/>
              </w:rPr>
            </w:pPr>
            <w:r>
              <w:rPr>
                <w:rFonts w:hint="eastAsia" w:ascii="仿宋_GB2312" w:hAnsi="仿宋" w:eastAsia="仿宋_GB2312"/>
                <w:b/>
                <w:bCs/>
                <w:kern w:val="0"/>
                <w:sz w:val="24"/>
                <w:szCs w:val="28"/>
              </w:rPr>
              <w:t>立项</w:t>
            </w: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国家级</w:t>
            </w:r>
          </w:p>
        </w:tc>
        <w:tc>
          <w:tcPr>
            <w:tcW w:w="6080" w:type="dxa"/>
            <w:vAlign w:val="center"/>
          </w:tcPr>
          <w:p>
            <w:pPr>
              <w:spacing w:line="360" w:lineRule="exact"/>
              <w:jc w:val="left"/>
              <w:rPr>
                <w:rFonts w:hint="default" w:ascii="仿宋_GB2312" w:hAnsi="仿宋" w:eastAsia="仿宋_GB2312"/>
                <w:kern w:val="0"/>
                <w:sz w:val="20"/>
                <w:szCs w:val="20"/>
                <w:lang w:val="en-US" w:eastAsia="zh-CN"/>
              </w:rPr>
            </w:pPr>
            <w:r>
              <w:rPr>
                <w:rFonts w:hint="eastAsia" w:ascii="仿宋_GB2312" w:hAnsi="仿宋" w:eastAsia="仿宋_GB2312"/>
                <w:sz w:val="20"/>
                <w:szCs w:val="20"/>
              </w:rPr>
              <w:t>前9名，每项按排名赋分（30、20、18、16、14、12、10、8、6）</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省级</w:t>
            </w:r>
          </w:p>
        </w:tc>
        <w:tc>
          <w:tcPr>
            <w:tcW w:w="6080" w:type="dxa"/>
            <w:vAlign w:val="center"/>
          </w:tcPr>
          <w:p>
            <w:pPr>
              <w:spacing w:line="360" w:lineRule="exact"/>
              <w:jc w:val="left"/>
              <w:rPr>
                <w:rFonts w:ascii="仿宋_GB2312" w:hAnsi="仿宋" w:eastAsia="仿宋_GB2312"/>
                <w:kern w:val="0"/>
                <w:sz w:val="20"/>
                <w:szCs w:val="20"/>
              </w:rPr>
            </w:pPr>
            <w:r>
              <w:rPr>
                <w:rFonts w:hint="eastAsia" w:ascii="仿宋_GB2312" w:hAnsi="仿宋" w:eastAsia="仿宋_GB2312"/>
                <w:sz w:val="20"/>
                <w:szCs w:val="20"/>
              </w:rPr>
              <w:t>前7名，每项按排名赋分（10、6、5、4、3、2、1）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市级</w:t>
            </w:r>
          </w:p>
        </w:tc>
        <w:tc>
          <w:tcPr>
            <w:tcW w:w="6080" w:type="dxa"/>
            <w:vAlign w:val="center"/>
          </w:tcPr>
          <w:p>
            <w:pPr>
              <w:spacing w:line="360" w:lineRule="exact"/>
              <w:jc w:val="left"/>
              <w:rPr>
                <w:rFonts w:ascii="仿宋_GB2312" w:hAnsi="仿宋" w:eastAsia="仿宋_GB2312"/>
                <w:kern w:val="0"/>
                <w:sz w:val="20"/>
                <w:szCs w:val="20"/>
              </w:rPr>
            </w:pPr>
            <w:r>
              <w:rPr>
                <w:rFonts w:hint="eastAsia" w:ascii="仿宋_GB2312" w:hAnsi="仿宋" w:eastAsia="仿宋_GB2312"/>
                <w:sz w:val="20"/>
                <w:szCs w:val="20"/>
              </w:rPr>
              <w:t>前5名，每项按排名赋分（7、4、3、2、1）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hint="eastAsia" w:ascii="仿宋_GB2312" w:hAnsi="仿宋" w:eastAsia="仿宋_GB2312"/>
                <w:kern w:val="0"/>
                <w:sz w:val="24"/>
                <w:szCs w:val="28"/>
              </w:rPr>
            </w:pPr>
          </w:p>
        </w:tc>
        <w:tc>
          <w:tcPr>
            <w:tcW w:w="8328" w:type="dxa"/>
            <w:gridSpan w:val="2"/>
            <w:vAlign w:val="center"/>
          </w:tcPr>
          <w:p>
            <w:pPr>
              <w:spacing w:line="360" w:lineRule="exact"/>
              <w:jc w:val="left"/>
              <w:rPr>
                <w:rFonts w:hint="default" w:ascii="仿宋_GB2312" w:hAnsi="仿宋" w:eastAsia="仿宋_GB2312"/>
                <w:sz w:val="20"/>
                <w:szCs w:val="20"/>
                <w:lang w:val="en-US"/>
              </w:rPr>
            </w:pPr>
            <w:r>
              <w:rPr>
                <w:rFonts w:hint="eastAsia" w:ascii="仿宋_GB2312" w:hAnsi="仿宋" w:eastAsia="仿宋_GB2312"/>
                <w:kern w:val="0"/>
                <w:sz w:val="20"/>
                <w:szCs w:val="20"/>
                <w:lang w:val="en-US" w:eastAsia="zh-CN"/>
              </w:rPr>
              <w:t>注：除科技部/厅/局按正常级别赋分外，其他单位部门立项均降一级赋分；计算排名时包含主持人。</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restart"/>
            <w:vAlign w:val="center"/>
          </w:tcPr>
          <w:p>
            <w:pPr>
              <w:spacing w:line="360" w:lineRule="exact"/>
              <w:jc w:val="center"/>
              <w:rPr>
                <w:rFonts w:ascii="仿宋_GB2312" w:hAnsi="仿宋" w:eastAsia="仿宋_GB2312"/>
                <w:kern w:val="0"/>
                <w:sz w:val="24"/>
                <w:szCs w:val="28"/>
              </w:rPr>
            </w:pPr>
            <w:r>
              <w:rPr>
                <w:rFonts w:hint="eastAsia" w:ascii="仿宋_GB2312" w:hAnsi="仿宋" w:eastAsia="仿宋_GB2312"/>
                <w:b/>
                <w:bCs/>
                <w:kern w:val="0"/>
                <w:sz w:val="24"/>
                <w:szCs w:val="28"/>
              </w:rPr>
              <w:t>科技奖励</w:t>
            </w: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国家级</w:t>
            </w:r>
          </w:p>
        </w:tc>
        <w:tc>
          <w:tcPr>
            <w:tcW w:w="6080" w:type="dxa"/>
            <w:vAlign w:val="center"/>
          </w:tcPr>
          <w:p>
            <w:pPr>
              <w:spacing w:line="360" w:lineRule="exact"/>
              <w:jc w:val="left"/>
              <w:rPr>
                <w:rFonts w:ascii="仿宋_GB2312" w:hAnsi="仿宋" w:eastAsia="仿宋_GB2312"/>
                <w:sz w:val="20"/>
                <w:szCs w:val="20"/>
              </w:rPr>
            </w:pPr>
            <w:r>
              <w:rPr>
                <w:rFonts w:hint="eastAsia" w:ascii="仿宋_GB2312" w:hAnsi="仿宋" w:eastAsia="仿宋_GB2312"/>
                <w:sz w:val="20"/>
                <w:szCs w:val="20"/>
              </w:rPr>
              <w:t>自然科学/技术发明/科技进步奖。每项按证书上排名赋分（300、200、180、160、140、120、第7名以后都给100分）除以奖励等级（即二等奖，上述分数除以二）</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省级</w:t>
            </w:r>
          </w:p>
        </w:tc>
        <w:tc>
          <w:tcPr>
            <w:tcW w:w="6080" w:type="dxa"/>
            <w:vAlign w:val="center"/>
          </w:tcPr>
          <w:p>
            <w:pPr>
              <w:spacing w:line="360" w:lineRule="exact"/>
              <w:jc w:val="left"/>
              <w:rPr>
                <w:rFonts w:ascii="仿宋_GB2312" w:hAnsi="仿宋" w:eastAsia="仿宋_GB2312"/>
                <w:sz w:val="20"/>
                <w:szCs w:val="20"/>
              </w:rPr>
            </w:pPr>
            <w:r>
              <w:rPr>
                <w:rFonts w:hint="eastAsia" w:ascii="仿宋_GB2312" w:hAnsi="仿宋" w:eastAsia="仿宋_GB2312"/>
                <w:sz w:val="20"/>
                <w:szCs w:val="20"/>
              </w:rPr>
              <w:t>自然科学/技术发明/科技进步奖、教育部科学技术奖、中华医学科技奖。每项按证书上排名赋分（90、70、60、第4名以后都给30分），再除以奖励等级</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市级</w:t>
            </w:r>
          </w:p>
        </w:tc>
        <w:tc>
          <w:tcPr>
            <w:tcW w:w="6080" w:type="dxa"/>
            <w:vAlign w:val="center"/>
          </w:tcPr>
          <w:p>
            <w:pPr>
              <w:spacing w:line="360" w:lineRule="exact"/>
              <w:jc w:val="left"/>
              <w:rPr>
                <w:rFonts w:ascii="仿宋_GB2312" w:hAnsi="仿宋" w:eastAsia="仿宋_GB2312"/>
                <w:sz w:val="20"/>
                <w:szCs w:val="20"/>
              </w:rPr>
            </w:pPr>
            <w:r>
              <w:rPr>
                <w:rFonts w:hint="eastAsia" w:ascii="仿宋_GB2312" w:hAnsi="仿宋" w:eastAsia="仿宋_GB2312"/>
                <w:sz w:val="20"/>
                <w:szCs w:val="20"/>
              </w:rPr>
              <w:t>自然科学/技术发明/科技进步奖。每项按证书上排名赋分（30、20、15、第4名以后都给10分），再除以奖励等级</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restart"/>
            <w:vAlign w:val="center"/>
          </w:tcPr>
          <w:p>
            <w:pPr>
              <w:spacing w:line="360" w:lineRule="exact"/>
              <w:jc w:val="center"/>
              <w:rPr>
                <w:rFonts w:ascii="仿宋_GB2312" w:hAnsi="仿宋" w:eastAsia="仿宋_GB2312"/>
                <w:b/>
                <w:bCs/>
                <w:kern w:val="0"/>
                <w:sz w:val="24"/>
                <w:szCs w:val="28"/>
              </w:rPr>
            </w:pPr>
            <w:r>
              <w:rPr>
                <w:rFonts w:hint="eastAsia" w:ascii="仿宋_GB2312" w:hAnsi="仿宋" w:eastAsia="仿宋_GB2312"/>
                <w:b/>
                <w:bCs/>
                <w:kern w:val="0"/>
                <w:sz w:val="24"/>
                <w:szCs w:val="28"/>
                <w:lang w:val="en-US" w:eastAsia="zh-CN"/>
              </w:rPr>
              <w:t>科研临床</w:t>
            </w:r>
            <w:r>
              <w:rPr>
                <w:rFonts w:hint="eastAsia" w:ascii="仿宋_GB2312" w:hAnsi="仿宋" w:eastAsia="仿宋_GB2312"/>
                <w:b/>
                <w:bCs/>
                <w:kern w:val="0"/>
                <w:sz w:val="24"/>
                <w:szCs w:val="28"/>
              </w:rPr>
              <w:t>竞赛</w:t>
            </w: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国家级获奖</w:t>
            </w:r>
          </w:p>
        </w:tc>
        <w:tc>
          <w:tcPr>
            <w:tcW w:w="6080" w:type="dxa"/>
            <w:vAlign w:val="center"/>
          </w:tcPr>
          <w:p>
            <w:pPr>
              <w:spacing w:line="360" w:lineRule="exact"/>
              <w:jc w:val="left"/>
              <w:rPr>
                <w:rFonts w:ascii="仿宋_GB2312" w:hAnsi="仿宋" w:eastAsia="仿宋_GB2312"/>
                <w:kern w:val="0"/>
                <w:sz w:val="20"/>
                <w:szCs w:val="20"/>
              </w:rPr>
            </w:pPr>
            <w:r>
              <w:rPr>
                <w:rFonts w:hint="eastAsia" w:ascii="仿宋_GB2312" w:hAnsi="仿宋" w:eastAsia="仿宋_GB2312"/>
                <w:sz w:val="20"/>
                <w:szCs w:val="20"/>
              </w:rPr>
              <w:t>前3名，每项按排名赋分（10、5、2）</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省级获奖</w:t>
            </w:r>
          </w:p>
        </w:tc>
        <w:tc>
          <w:tcPr>
            <w:tcW w:w="6080" w:type="dxa"/>
            <w:vAlign w:val="center"/>
          </w:tcPr>
          <w:p>
            <w:pPr>
              <w:spacing w:line="360" w:lineRule="exact"/>
              <w:jc w:val="left"/>
              <w:rPr>
                <w:rFonts w:ascii="仿宋_GB2312" w:hAnsi="仿宋" w:eastAsia="仿宋_GB2312"/>
                <w:kern w:val="0"/>
                <w:sz w:val="20"/>
                <w:szCs w:val="20"/>
              </w:rPr>
            </w:pPr>
            <w:r>
              <w:rPr>
                <w:rFonts w:hint="eastAsia" w:ascii="仿宋_GB2312" w:hAnsi="仿宋" w:eastAsia="仿宋_GB2312"/>
                <w:sz w:val="20"/>
                <w:szCs w:val="20"/>
              </w:rPr>
              <w:t>前3名，每项按排名赋分（5、2、1）</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市级获奖</w:t>
            </w:r>
          </w:p>
        </w:tc>
        <w:tc>
          <w:tcPr>
            <w:tcW w:w="6080" w:type="dxa"/>
            <w:vAlign w:val="center"/>
          </w:tcPr>
          <w:p>
            <w:pPr>
              <w:spacing w:line="360" w:lineRule="exact"/>
              <w:jc w:val="left"/>
              <w:rPr>
                <w:rFonts w:ascii="仿宋_GB2312" w:hAnsi="仿宋" w:eastAsia="仿宋_GB2312"/>
                <w:kern w:val="0"/>
                <w:sz w:val="20"/>
                <w:szCs w:val="20"/>
              </w:rPr>
            </w:pPr>
            <w:r>
              <w:rPr>
                <w:rFonts w:hint="eastAsia" w:ascii="仿宋_GB2312" w:hAnsi="仿宋" w:eastAsia="仿宋_GB2312"/>
                <w:sz w:val="20"/>
                <w:szCs w:val="20"/>
              </w:rPr>
              <w:t>前3名，每项按排名赋分（2、1、0.5）</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2" w:type="dxa"/>
            <w:vMerge w:val="continue"/>
            <w:vAlign w:val="center"/>
          </w:tcPr>
          <w:p>
            <w:pPr>
              <w:spacing w:line="360" w:lineRule="exact"/>
              <w:jc w:val="center"/>
              <w:rPr>
                <w:rFonts w:ascii="仿宋_GB2312" w:hAnsi="仿宋" w:eastAsia="仿宋_GB2312"/>
                <w:kern w:val="0"/>
                <w:sz w:val="24"/>
                <w:szCs w:val="28"/>
              </w:rPr>
            </w:pPr>
          </w:p>
        </w:tc>
        <w:tc>
          <w:tcPr>
            <w:tcW w:w="2248" w:type="dxa"/>
            <w:vAlign w:val="center"/>
          </w:tcPr>
          <w:p>
            <w:pPr>
              <w:spacing w:line="360" w:lineRule="exact"/>
              <w:jc w:val="center"/>
              <w:rPr>
                <w:rFonts w:ascii="仿宋_GB2312" w:hAnsi="仿宋" w:eastAsia="仿宋_GB2312"/>
                <w:kern w:val="0"/>
                <w:sz w:val="20"/>
                <w:szCs w:val="20"/>
              </w:rPr>
            </w:pPr>
            <w:r>
              <w:rPr>
                <w:rFonts w:hint="eastAsia" w:ascii="仿宋_GB2312" w:hAnsi="仿宋" w:eastAsia="仿宋_GB2312"/>
                <w:kern w:val="0"/>
                <w:sz w:val="20"/>
                <w:szCs w:val="20"/>
              </w:rPr>
              <w:t>校级获奖</w:t>
            </w:r>
          </w:p>
        </w:tc>
        <w:tc>
          <w:tcPr>
            <w:tcW w:w="6080" w:type="dxa"/>
            <w:vAlign w:val="center"/>
          </w:tcPr>
          <w:p>
            <w:pPr>
              <w:spacing w:line="360" w:lineRule="exact"/>
              <w:jc w:val="left"/>
              <w:rPr>
                <w:rFonts w:ascii="仿宋_GB2312" w:hAnsi="仿宋" w:eastAsia="仿宋_GB2312"/>
                <w:kern w:val="0"/>
                <w:sz w:val="20"/>
                <w:szCs w:val="20"/>
              </w:rPr>
            </w:pPr>
            <w:r>
              <w:rPr>
                <w:rFonts w:hint="eastAsia" w:ascii="仿宋_GB2312" w:hAnsi="仿宋" w:eastAsia="仿宋_GB2312"/>
                <w:sz w:val="20"/>
                <w:szCs w:val="20"/>
              </w:rPr>
              <w:t>前3名，每项按排名赋分（1、0.5、0.2）</w:t>
            </w:r>
          </w:p>
        </w:tc>
        <w:tc>
          <w:tcPr>
            <w:tcW w:w="711" w:type="dxa"/>
            <w:vAlign w:val="center"/>
          </w:tcPr>
          <w:p>
            <w:pPr>
              <w:spacing w:line="360" w:lineRule="exact"/>
              <w:jc w:val="left"/>
              <w:rPr>
                <w:rFonts w:ascii="仿宋_GB2312" w:hAnsi="仿宋"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262" w:type="dxa"/>
            <w:vMerge w:val="continue"/>
            <w:vAlign w:val="center"/>
          </w:tcPr>
          <w:p>
            <w:pPr>
              <w:spacing w:line="360" w:lineRule="exact"/>
              <w:jc w:val="center"/>
              <w:rPr>
                <w:rFonts w:hint="eastAsia" w:ascii="仿宋_GB2312" w:hAnsi="仿宋" w:eastAsia="仿宋_GB2312"/>
                <w:kern w:val="0"/>
                <w:sz w:val="24"/>
                <w:szCs w:val="28"/>
              </w:rPr>
            </w:pPr>
          </w:p>
        </w:tc>
        <w:tc>
          <w:tcPr>
            <w:tcW w:w="8328" w:type="dxa"/>
            <w:gridSpan w:val="2"/>
            <w:vAlign w:val="center"/>
          </w:tcPr>
          <w:p>
            <w:pPr>
              <w:spacing w:line="360" w:lineRule="exact"/>
              <w:jc w:val="center"/>
              <w:rPr>
                <w:rFonts w:hint="default" w:ascii="仿宋_GB2312" w:hAnsi="仿宋" w:eastAsia="仿宋_GB2312"/>
                <w:kern w:val="0"/>
                <w:sz w:val="20"/>
                <w:szCs w:val="20"/>
                <w:lang w:val="en-US" w:eastAsia="zh-CN"/>
              </w:rPr>
            </w:pPr>
            <w:r>
              <w:rPr>
                <w:rFonts w:hint="eastAsia" w:ascii="仿宋_GB2312" w:hAnsi="仿宋" w:eastAsia="仿宋_GB2312"/>
                <w:kern w:val="0"/>
                <w:sz w:val="20"/>
                <w:szCs w:val="20"/>
                <w:lang w:val="en-US" w:eastAsia="zh-CN"/>
              </w:rPr>
              <w:t>注：多级别单位部门共同举办，按照最低等级单位部门级别认定，同一项目多次获不同级别奖项，限加最高级别分，不累计叠加</w:t>
            </w:r>
          </w:p>
        </w:tc>
        <w:tc>
          <w:tcPr>
            <w:tcW w:w="711" w:type="dxa"/>
            <w:vAlign w:val="center"/>
          </w:tcPr>
          <w:p>
            <w:pPr>
              <w:spacing w:line="360" w:lineRule="exact"/>
              <w:jc w:val="left"/>
              <w:rPr>
                <w:rFonts w:ascii="仿宋_GB2312" w:hAnsi="仿宋" w:eastAsia="仿宋_GB2312"/>
                <w:kern w:val="0"/>
                <w:sz w:val="24"/>
                <w:szCs w:val="24"/>
              </w:rPr>
            </w:pPr>
          </w:p>
        </w:tc>
      </w:tr>
    </w:tbl>
    <w:p>
      <w:pPr>
        <w:spacing w:line="360" w:lineRule="exact"/>
        <w:rPr>
          <w:rFonts w:ascii="仿宋_GB2312" w:hAnsi="仿宋" w:eastAsia="仿宋_GB2312"/>
          <w:color w:val="262626"/>
          <w:kern w:val="0"/>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auto"/>
    <w:pitch w:val="default"/>
    <w:sig w:usb0="00000000" w:usb1="00000000" w:usb2="00000009" w:usb3="00000000" w:csb0="000001FF" w:csb1="00000000"/>
  </w:font>
  <w:font w:name="Arial Rounded MT Bold">
    <w:panose1 w:val="020F0704030504030204"/>
    <w:charset w:val="00"/>
    <w:family w:val="auto"/>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NjZjM4OGUwZWE4M2EyNWRmOGMzZGI5ZGJiYzA2MmIifQ=="/>
  </w:docVars>
  <w:rsids>
    <w:rsidRoot w:val="0078613A"/>
    <w:rsid w:val="00003852"/>
    <w:rsid w:val="00012941"/>
    <w:rsid w:val="0003000B"/>
    <w:rsid w:val="000375B9"/>
    <w:rsid w:val="00093D71"/>
    <w:rsid w:val="000B5D12"/>
    <w:rsid w:val="000D7916"/>
    <w:rsid w:val="00116B84"/>
    <w:rsid w:val="00163EAC"/>
    <w:rsid w:val="00184E4E"/>
    <w:rsid w:val="001D1C9C"/>
    <w:rsid w:val="001F0888"/>
    <w:rsid w:val="001F3F1C"/>
    <w:rsid w:val="00204FD1"/>
    <w:rsid w:val="002328A8"/>
    <w:rsid w:val="002B5480"/>
    <w:rsid w:val="003236EB"/>
    <w:rsid w:val="0035350F"/>
    <w:rsid w:val="00367175"/>
    <w:rsid w:val="00395D80"/>
    <w:rsid w:val="003A56D7"/>
    <w:rsid w:val="003B633C"/>
    <w:rsid w:val="004173BE"/>
    <w:rsid w:val="0042187F"/>
    <w:rsid w:val="00484201"/>
    <w:rsid w:val="004E49E7"/>
    <w:rsid w:val="004E627B"/>
    <w:rsid w:val="00565439"/>
    <w:rsid w:val="005B3989"/>
    <w:rsid w:val="005D4504"/>
    <w:rsid w:val="005F6FF2"/>
    <w:rsid w:val="0060792C"/>
    <w:rsid w:val="00612F88"/>
    <w:rsid w:val="0069524E"/>
    <w:rsid w:val="006C0263"/>
    <w:rsid w:val="006C1B25"/>
    <w:rsid w:val="006D6EB8"/>
    <w:rsid w:val="00720037"/>
    <w:rsid w:val="0074127D"/>
    <w:rsid w:val="0078613A"/>
    <w:rsid w:val="00786389"/>
    <w:rsid w:val="00826B01"/>
    <w:rsid w:val="008B536E"/>
    <w:rsid w:val="008F7A5A"/>
    <w:rsid w:val="00902ED9"/>
    <w:rsid w:val="00913073"/>
    <w:rsid w:val="00915BC6"/>
    <w:rsid w:val="00932552"/>
    <w:rsid w:val="009B3C03"/>
    <w:rsid w:val="00A20CE3"/>
    <w:rsid w:val="00A463A8"/>
    <w:rsid w:val="00A660B1"/>
    <w:rsid w:val="00AB0EB6"/>
    <w:rsid w:val="00AE6551"/>
    <w:rsid w:val="00B32085"/>
    <w:rsid w:val="00B356AE"/>
    <w:rsid w:val="00B46FFE"/>
    <w:rsid w:val="00B51427"/>
    <w:rsid w:val="00BE4812"/>
    <w:rsid w:val="00C01647"/>
    <w:rsid w:val="00C12014"/>
    <w:rsid w:val="00C55B3E"/>
    <w:rsid w:val="00C910B2"/>
    <w:rsid w:val="00CB0AA6"/>
    <w:rsid w:val="00CC01C3"/>
    <w:rsid w:val="00CE5F08"/>
    <w:rsid w:val="00CF1D63"/>
    <w:rsid w:val="00D14653"/>
    <w:rsid w:val="00D30AAD"/>
    <w:rsid w:val="00D30D57"/>
    <w:rsid w:val="00D5751A"/>
    <w:rsid w:val="00D7426B"/>
    <w:rsid w:val="00D8662C"/>
    <w:rsid w:val="00D91A0A"/>
    <w:rsid w:val="00DA0D63"/>
    <w:rsid w:val="00E061A0"/>
    <w:rsid w:val="00ED437C"/>
    <w:rsid w:val="00FA25F5"/>
    <w:rsid w:val="00FA7A66"/>
    <w:rsid w:val="00FD2AAB"/>
    <w:rsid w:val="00FD319E"/>
    <w:rsid w:val="05F6352F"/>
    <w:rsid w:val="09B8085C"/>
    <w:rsid w:val="09D32F2C"/>
    <w:rsid w:val="0B116B74"/>
    <w:rsid w:val="0C377CB3"/>
    <w:rsid w:val="0C472FBC"/>
    <w:rsid w:val="10731880"/>
    <w:rsid w:val="118763B4"/>
    <w:rsid w:val="15841F93"/>
    <w:rsid w:val="17245FD3"/>
    <w:rsid w:val="17413E51"/>
    <w:rsid w:val="1A201C90"/>
    <w:rsid w:val="1B325F9C"/>
    <w:rsid w:val="1BDC0E28"/>
    <w:rsid w:val="1C0D2E16"/>
    <w:rsid w:val="1ED93108"/>
    <w:rsid w:val="1F0C74C8"/>
    <w:rsid w:val="20D708D5"/>
    <w:rsid w:val="22A53652"/>
    <w:rsid w:val="26394731"/>
    <w:rsid w:val="29194591"/>
    <w:rsid w:val="2A160531"/>
    <w:rsid w:val="2AB05760"/>
    <w:rsid w:val="2BEE64CD"/>
    <w:rsid w:val="2D0A044A"/>
    <w:rsid w:val="2E241400"/>
    <w:rsid w:val="2E5A6AAA"/>
    <w:rsid w:val="2F3E6B2E"/>
    <w:rsid w:val="2FC736C3"/>
    <w:rsid w:val="38214C40"/>
    <w:rsid w:val="3863259A"/>
    <w:rsid w:val="39FB12A4"/>
    <w:rsid w:val="3A8A7664"/>
    <w:rsid w:val="3D3A36B7"/>
    <w:rsid w:val="4269088B"/>
    <w:rsid w:val="42BA3EA5"/>
    <w:rsid w:val="441B227B"/>
    <w:rsid w:val="48906A9A"/>
    <w:rsid w:val="48DA5E4B"/>
    <w:rsid w:val="4E8A65B4"/>
    <w:rsid w:val="51D86870"/>
    <w:rsid w:val="52840BEF"/>
    <w:rsid w:val="529E42FF"/>
    <w:rsid w:val="56216DAE"/>
    <w:rsid w:val="57066F7A"/>
    <w:rsid w:val="5AB26B9A"/>
    <w:rsid w:val="5E5A241C"/>
    <w:rsid w:val="5F426DC6"/>
    <w:rsid w:val="60AC5BCA"/>
    <w:rsid w:val="61CA5E15"/>
    <w:rsid w:val="62D27650"/>
    <w:rsid w:val="64F84CFB"/>
    <w:rsid w:val="658904F7"/>
    <w:rsid w:val="671A2CF4"/>
    <w:rsid w:val="67FE5FCE"/>
    <w:rsid w:val="692D630B"/>
    <w:rsid w:val="6EBA5637"/>
    <w:rsid w:val="70DE20D2"/>
    <w:rsid w:val="744973E0"/>
    <w:rsid w:val="757131B8"/>
    <w:rsid w:val="76A12F04"/>
    <w:rsid w:val="790B5926"/>
    <w:rsid w:val="7BF00E78"/>
    <w:rsid w:val="7F6C2F0C"/>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footer"/>
    <w:basedOn w:val="1"/>
    <w:link w:val="8"/>
    <w:unhideWhenUsed/>
    <w:qFormat/>
    <w:uiPriority w:val="0"/>
    <w:pPr>
      <w:tabs>
        <w:tab w:val="center" w:pos="4153"/>
        <w:tab w:val="right" w:pos="8306"/>
      </w:tabs>
      <w:snapToGrid w:val="0"/>
      <w:jc w:val="left"/>
    </w:pPr>
    <w:rPr>
      <w:sz w:val="18"/>
      <w:szCs w:val="18"/>
    </w:rPr>
  </w:style>
  <w:style w:type="paragraph" w:styleId="4">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0"/>
    <w:rPr>
      <w:rFonts w:ascii="Calibri" w:hAnsi="Calibri"/>
      <w:kern w:val="2"/>
      <w:sz w:val="18"/>
      <w:szCs w:val="18"/>
    </w:rPr>
  </w:style>
  <w:style w:type="character" w:customStyle="1" w:styleId="8">
    <w:name w:val="页脚 Char"/>
    <w:basedOn w:val="6"/>
    <w:link w:val="3"/>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1861</Words>
  <Characters>1968</Characters>
  <Lines>14</Lines>
  <Paragraphs>4</Paragraphs>
  <TotalTime>7</TotalTime>
  <ScaleCrop>false</ScaleCrop>
  <LinksUpToDate>false</LinksUpToDate>
  <CharactersWithSpaces>2019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2015-06-03T01:15:00Z</dcterms:created>
  <dc:creator>lenovo</dc:creator>
  <cp:lastModifiedBy>月</cp:lastModifiedBy>
  <cp:lastPrinted>2023-04-27T07:03:00Z</cp:lastPrinted>
  <dcterms:modified xsi:type="dcterms:W3CDTF">2023-04-27T10:48:35Z</dcterms:modified>
  <dc:title>第一临床学院专业学位研究生学业奖学金评审赋分标准</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04A5EA91FF4E4F24AB32E6BF389DF064</vt:lpwstr>
  </property>
</Properties>
</file>