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between w:val="none" w:color="auto" w:sz="0" w:space="0"/>
        </w:pBdr>
        <w:snapToGrid w:val="0"/>
        <w:spacing w:line="360" w:lineRule="auto"/>
        <w:jc w:val="center"/>
        <w:rPr>
          <w:rFonts w:ascii="仿宋_GB2312" w:eastAsia="仿宋_GB2312"/>
          <w:b/>
          <w:bCs w:val="0"/>
          <w:sz w:val="36"/>
          <w:szCs w:val="36"/>
        </w:rPr>
      </w:pPr>
      <w:r>
        <w:rPr>
          <w:rFonts w:hint="eastAsia" w:ascii="仿宋_GB2312" w:eastAsia="仿宋_GB2312"/>
          <w:b/>
          <w:bCs w:val="0"/>
          <w:sz w:val="36"/>
          <w:szCs w:val="36"/>
        </w:rPr>
        <w:t>附属第一医院博士研究生学业奖学金评审赋分标准</w:t>
      </w:r>
    </w:p>
    <w:p>
      <w:pPr>
        <w:rPr>
          <w:rFonts w:hint="default" w:ascii="黑体" w:hAnsi="仿宋" w:eastAsia="仿宋_GB2312" w:cs="Times"/>
          <w:b/>
          <w:kern w:val="0"/>
          <w:sz w:val="24"/>
          <w:szCs w:val="24"/>
          <w:lang w:val="en-US" w:eastAsia="zh-CN"/>
        </w:rPr>
      </w:pPr>
      <w:r>
        <w:rPr>
          <w:rFonts w:hint="eastAsia" w:ascii="仿宋_GB2312" w:eastAsia="仿宋_GB2312"/>
          <w:b/>
          <w:sz w:val="24"/>
          <w:szCs w:val="24"/>
        </w:rPr>
        <w:t xml:space="preserve">学号：        姓名：     </w:t>
      </w:r>
      <w:r>
        <w:rPr>
          <w:rFonts w:hint="eastAsia" w:ascii="仿宋_GB2312" w:eastAsia="仿宋_GB2312"/>
          <w:b/>
          <w:sz w:val="24"/>
          <w:szCs w:val="24"/>
          <w:lang w:val="en-US" w:eastAsia="zh-CN"/>
        </w:rPr>
        <w:t xml:space="preserve"> </w:t>
      </w:r>
      <w:r>
        <w:rPr>
          <w:rFonts w:hint="eastAsia" w:ascii="仿宋_GB2312" w:eastAsia="仿宋_GB2312"/>
          <w:b/>
          <w:sz w:val="24"/>
          <w:szCs w:val="24"/>
        </w:rPr>
        <w:t>专业：       年级：</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导师：     </w:t>
      </w:r>
      <w:r>
        <w:rPr>
          <w:rFonts w:hint="eastAsia" w:ascii="仿宋_GB2312" w:eastAsia="仿宋_GB2312"/>
          <w:b/>
          <w:sz w:val="24"/>
          <w:szCs w:val="24"/>
          <w:lang w:val="en-US" w:eastAsia="zh-CN"/>
        </w:rPr>
        <w:t>类别：</w:t>
      </w:r>
      <w:r>
        <w:rPr>
          <w:rFonts w:hint="eastAsia" w:ascii="仿宋_GB2312" w:eastAsia="仿宋_GB2312"/>
          <w:b/>
          <w:sz w:val="24"/>
          <w:szCs w:val="24"/>
          <w:lang w:val="en-US" w:eastAsia="zh-CN"/>
        </w:rPr>
        <w:sym w:font="Wingdings 2" w:char="00A3"/>
      </w:r>
      <w:r>
        <w:rPr>
          <w:rFonts w:hint="eastAsia" w:ascii="仿宋_GB2312" w:eastAsia="仿宋_GB2312"/>
          <w:b/>
          <w:sz w:val="24"/>
          <w:szCs w:val="24"/>
          <w:lang w:val="en-US" w:eastAsia="zh-CN"/>
        </w:rPr>
        <w:t>学术型</w:t>
      </w:r>
      <w:r>
        <w:rPr>
          <w:rFonts w:hint="eastAsia" w:ascii="仿宋_GB2312" w:eastAsia="仿宋_GB2312"/>
          <w:b/>
          <w:sz w:val="24"/>
          <w:szCs w:val="24"/>
          <w:lang w:val="en-US" w:eastAsia="zh-CN"/>
        </w:rPr>
        <w:sym w:font="Wingdings 2" w:char="00A3"/>
      </w:r>
      <w:r>
        <w:rPr>
          <w:rFonts w:hint="eastAsia" w:ascii="仿宋_GB2312" w:eastAsia="仿宋_GB2312"/>
          <w:b/>
          <w:sz w:val="24"/>
          <w:szCs w:val="24"/>
          <w:lang w:val="en-US" w:eastAsia="zh-CN"/>
        </w:rPr>
        <w:t>专业型</w:t>
      </w:r>
    </w:p>
    <w:tbl>
      <w:tblPr>
        <w:tblStyle w:val="6"/>
        <w:tblW w:w="10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540"/>
        <w:gridCol w:w="221"/>
        <w:gridCol w:w="487"/>
        <w:gridCol w:w="1418"/>
        <w:gridCol w:w="2281"/>
        <w:gridCol w:w="662"/>
        <w:gridCol w:w="171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62" w:type="dxa"/>
            <w:vAlign w:val="center"/>
          </w:tcPr>
          <w:p>
            <w:pPr>
              <w:spacing w:line="360" w:lineRule="exact"/>
              <w:jc w:val="center"/>
              <w:rPr>
                <w:rFonts w:ascii="仿宋_GB2312" w:hAnsi="仿宋" w:eastAsia="仿宋_GB2312" w:cs="Times"/>
                <w:b/>
                <w:bCs/>
                <w:kern w:val="1"/>
                <w:sz w:val="24"/>
                <w:szCs w:val="28"/>
              </w:rPr>
            </w:pPr>
            <w:r>
              <w:rPr>
                <w:rFonts w:hint="eastAsia" w:ascii="仿宋_GB2312" w:hAnsi="仿宋" w:eastAsia="仿宋_GB2312" w:cs="Times"/>
                <w:b/>
                <w:bCs/>
                <w:kern w:val="1"/>
                <w:sz w:val="24"/>
                <w:szCs w:val="28"/>
              </w:rPr>
              <w:t>赋分项目</w:t>
            </w:r>
          </w:p>
        </w:tc>
        <w:tc>
          <w:tcPr>
            <w:tcW w:w="8328" w:type="dxa"/>
            <w:gridSpan w:val="7"/>
            <w:vAlign w:val="center"/>
          </w:tcPr>
          <w:p>
            <w:pPr>
              <w:widowControl/>
              <w:autoSpaceDE w:val="0"/>
              <w:autoSpaceDN w:val="0"/>
              <w:adjustRightInd w:val="0"/>
              <w:spacing w:line="360" w:lineRule="exact"/>
              <w:jc w:val="center"/>
              <w:rPr>
                <w:rFonts w:ascii="仿宋_GB2312" w:hAnsi="仿宋" w:eastAsia="仿宋_GB2312" w:cs="Times"/>
                <w:b/>
                <w:bCs/>
                <w:kern w:val="0"/>
                <w:sz w:val="24"/>
                <w:szCs w:val="28"/>
              </w:rPr>
            </w:pPr>
            <w:r>
              <w:rPr>
                <w:rFonts w:hint="eastAsia" w:ascii="仿宋_GB2312" w:hAnsi="仿宋" w:eastAsia="仿宋_GB2312" w:cs="Times"/>
                <w:b/>
                <w:bCs/>
                <w:kern w:val="1"/>
                <w:sz w:val="24"/>
                <w:szCs w:val="28"/>
              </w:rPr>
              <w:t>赋分值</w:t>
            </w:r>
          </w:p>
        </w:tc>
        <w:tc>
          <w:tcPr>
            <w:tcW w:w="711" w:type="dxa"/>
            <w:vAlign w:val="center"/>
          </w:tcPr>
          <w:p>
            <w:pPr>
              <w:widowControl/>
              <w:autoSpaceDE w:val="0"/>
              <w:autoSpaceDN w:val="0"/>
              <w:adjustRightInd w:val="0"/>
              <w:spacing w:line="360" w:lineRule="exact"/>
              <w:jc w:val="center"/>
              <w:rPr>
                <w:rFonts w:ascii="仿宋_GB2312" w:hAnsi="仿宋" w:eastAsia="仿宋_GB2312" w:cs="Times"/>
                <w:b/>
                <w:bCs/>
                <w:kern w:val="0"/>
                <w:sz w:val="24"/>
                <w:szCs w:val="28"/>
              </w:rPr>
            </w:pPr>
            <w:r>
              <w:rPr>
                <w:rFonts w:hint="eastAsia" w:ascii="仿宋_GB2312" w:hAnsi="仿宋" w:eastAsia="仿宋_GB2312" w:cs="Times"/>
                <w:b/>
                <w:bCs/>
                <w:kern w:val="0"/>
                <w:sz w:val="24"/>
                <w:szCs w:val="2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hint="eastAsia" w:ascii="仿宋_GB2312" w:hAnsi="仿宋" w:eastAsia="仿宋_GB2312"/>
                <w:b/>
                <w:bCs/>
                <w:kern w:val="0"/>
                <w:sz w:val="22"/>
                <w:szCs w:val="24"/>
              </w:rPr>
            </w:pPr>
            <w:r>
              <w:rPr>
                <w:rFonts w:hint="eastAsia" w:ascii="仿宋_GB2312" w:hAnsi="仿宋" w:eastAsia="仿宋_GB2312"/>
                <w:b/>
                <w:bCs/>
                <w:kern w:val="0"/>
                <w:sz w:val="24"/>
                <w:szCs w:val="28"/>
              </w:rPr>
              <w:t>学术论文</w:t>
            </w: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SCI／EI</w:t>
            </w:r>
          </w:p>
        </w:tc>
        <w:tc>
          <w:tcPr>
            <w:tcW w:w="6080" w:type="dxa"/>
            <w:gridSpan w:val="4"/>
            <w:vAlign w:val="center"/>
          </w:tcPr>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I区论文：每篇分数=类型系数×（8+IF×作者系数）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II区论文：每篇分数=类型系数×（5+IF×作者系数）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III区论文：每篇分数=类型系数×（2+IF×作者系数）</w:t>
            </w:r>
          </w:p>
          <w:p>
            <w:pPr>
              <w:spacing w:line="260" w:lineRule="exact"/>
              <w:jc w:val="left"/>
              <w:rPr>
                <w:rFonts w:ascii="仿宋_GB2312" w:hAnsi="仿宋" w:eastAsia="仿宋_GB2312"/>
                <w:sz w:val="24"/>
                <w:szCs w:val="24"/>
                <w:highlight w:val="none"/>
              </w:rPr>
            </w:pPr>
            <w:r>
              <w:rPr>
                <w:rFonts w:hint="eastAsia" w:ascii="仿宋_GB2312" w:hAnsi="仿宋" w:eastAsia="仿宋_GB2312"/>
                <w:sz w:val="24"/>
                <w:szCs w:val="24"/>
                <w:highlight w:val="none"/>
              </w:rPr>
              <w:t>IV区论文：每篇分数=类型系数×2×作者系数</w:t>
            </w:r>
          </w:p>
          <w:p>
            <w:pPr>
              <w:spacing w:line="260" w:lineRule="exact"/>
              <w:jc w:val="left"/>
              <w:rPr>
                <w:rFonts w:hint="eastAsia" w:ascii="仿宋_GB2312" w:hAnsi="仿宋" w:eastAsia="仿宋_GB2312"/>
                <w:b/>
                <w:bCs/>
                <w:sz w:val="24"/>
                <w:szCs w:val="24"/>
                <w:highlight w:val="none"/>
                <w:lang w:val="en-US" w:eastAsia="zh-CN"/>
              </w:rPr>
            </w:pPr>
          </w:p>
          <w:p>
            <w:pPr>
              <w:spacing w:line="260" w:lineRule="exact"/>
              <w:jc w:val="left"/>
              <w:rPr>
                <w:rFonts w:hint="eastAsia" w:ascii="仿宋_GB2312" w:hAnsi="仿宋" w:eastAsia="仿宋_GB2312"/>
                <w:sz w:val="24"/>
                <w:szCs w:val="24"/>
                <w:highlight w:val="none"/>
                <w:lang w:eastAsia="zh-CN"/>
              </w:rPr>
            </w:pPr>
            <w:r>
              <w:rPr>
                <w:rFonts w:hint="eastAsia" w:ascii="仿宋_GB2312" w:hAnsi="仿宋" w:eastAsia="仿宋_GB2312"/>
                <w:b/>
                <w:bCs/>
                <w:sz w:val="24"/>
                <w:szCs w:val="24"/>
                <w:highlight w:val="none"/>
                <w:lang w:val="en-US" w:eastAsia="zh-CN"/>
              </w:rPr>
              <w:t>分区标准及查询方式：</w:t>
            </w:r>
            <w:r>
              <w:rPr>
                <w:rFonts w:hint="eastAsia" w:ascii="仿宋_GB2312" w:hAnsi="仿宋" w:eastAsia="仿宋_GB2312"/>
                <w:sz w:val="24"/>
                <w:szCs w:val="24"/>
                <w:highlight w:val="none"/>
              </w:rPr>
              <w:t>以中科院影响因子为准，结合中科院分区综合评定。</w:t>
            </w:r>
            <w:r>
              <w:rPr>
                <w:rFonts w:hint="eastAsia" w:ascii="仿宋_GB2312" w:hAnsi="仿宋" w:eastAsia="仿宋_GB2312"/>
                <w:sz w:val="24"/>
                <w:szCs w:val="24"/>
                <w:highlight w:val="none"/>
                <w:lang w:eastAsia="zh-CN"/>
              </w:rPr>
              <w:t>（</w:t>
            </w:r>
            <w:r>
              <w:rPr>
                <w:rFonts w:hint="eastAsia" w:ascii="仿宋_GB2312" w:hAnsi="仿宋" w:eastAsia="仿宋_GB2312"/>
                <w:sz w:val="24"/>
                <w:szCs w:val="24"/>
                <w:highlight w:val="none"/>
                <w:lang w:val="en-US" w:eastAsia="zh-CN"/>
              </w:rPr>
              <w:t>查询分区方式：微信小程序“中国科学院文献情报中心期刊分区表—2021年基础版”</w:t>
            </w:r>
            <w:r>
              <w:rPr>
                <w:rFonts w:hint="eastAsia" w:ascii="仿宋_GB2312" w:hAnsi="仿宋" w:eastAsia="仿宋_GB2312"/>
                <w:sz w:val="24"/>
                <w:szCs w:val="24"/>
                <w:highlight w:val="none"/>
                <w:lang w:eastAsia="zh-CN"/>
              </w:rPr>
              <w:t>）</w:t>
            </w:r>
          </w:p>
          <w:p>
            <w:pPr>
              <w:spacing w:line="260" w:lineRule="exact"/>
              <w:jc w:val="left"/>
              <w:rPr>
                <w:rFonts w:hint="eastAsia" w:ascii="仿宋_GB2312" w:hAnsi="仿宋" w:eastAsia="仿宋_GB2312"/>
                <w:b/>
                <w:bCs/>
                <w:sz w:val="24"/>
                <w:szCs w:val="24"/>
                <w:highlight w:val="none"/>
              </w:rPr>
            </w:pPr>
          </w:p>
          <w:p>
            <w:pPr>
              <w:spacing w:line="260" w:lineRule="exact"/>
              <w:jc w:val="left"/>
              <w:rPr>
                <w:rFonts w:hint="default" w:ascii="仿宋_GB2312" w:hAnsi="仿宋" w:eastAsia="仿宋_GB2312"/>
                <w:b/>
                <w:bCs/>
                <w:sz w:val="24"/>
                <w:szCs w:val="24"/>
                <w:highlight w:val="none"/>
                <w:lang w:val="en-US" w:eastAsia="zh-CN"/>
              </w:rPr>
            </w:pPr>
            <w:r>
              <w:rPr>
                <w:rFonts w:hint="eastAsia" w:ascii="仿宋_GB2312" w:hAnsi="仿宋" w:eastAsia="仿宋_GB2312"/>
                <w:b/>
                <w:bCs/>
                <w:sz w:val="24"/>
                <w:szCs w:val="24"/>
                <w:highlight w:val="none"/>
              </w:rPr>
              <w:t>作者系数：</w:t>
            </w:r>
            <w:r>
              <w:rPr>
                <w:rFonts w:hint="eastAsia" w:ascii="仿宋_GB2312" w:hAnsi="仿宋" w:eastAsia="仿宋_GB2312"/>
                <w:b w:val="0"/>
                <w:bCs w:val="0"/>
                <w:sz w:val="24"/>
                <w:szCs w:val="24"/>
                <w:highlight w:val="none"/>
                <w:lang w:val="en-US" w:eastAsia="zh-CN"/>
              </w:rPr>
              <w:t>仅赋分第一作者和通讯作者，有共同作者的仅赋分前三人，其余作者不计分。</w:t>
            </w:r>
          </w:p>
          <w:p>
            <w:pPr>
              <w:spacing w:line="260" w:lineRule="exact"/>
              <w:jc w:val="left"/>
              <w:rPr>
                <w:rFonts w:hint="eastAsia" w:ascii="仿宋_GB2312" w:hAnsi="仿宋" w:eastAsia="仿宋_GB2312"/>
                <w:sz w:val="24"/>
                <w:szCs w:val="24"/>
                <w:highlight w:val="none"/>
              </w:rPr>
            </w:pPr>
            <w:r>
              <w:rPr>
                <w:rFonts w:hint="eastAsia" w:ascii="仿宋_GB2312" w:hAnsi="仿宋" w:eastAsia="仿宋_GB2312"/>
                <w:sz w:val="24"/>
                <w:szCs w:val="24"/>
                <w:highlight w:val="none"/>
                <w:lang w:val="en-US" w:eastAsia="zh-CN"/>
              </w:rPr>
              <w:t>第一作者第1位/通讯作者第1位</w:t>
            </w:r>
            <w:r>
              <w:rPr>
                <w:rFonts w:hint="eastAsia" w:ascii="仿宋_GB2312" w:hAnsi="仿宋" w:eastAsia="仿宋_GB2312"/>
                <w:sz w:val="24"/>
                <w:szCs w:val="24"/>
                <w:highlight w:val="none"/>
              </w:rPr>
              <w:t xml:space="preserve"> 1.0，</w:t>
            </w:r>
          </w:p>
          <w:p>
            <w:pPr>
              <w:spacing w:line="260" w:lineRule="exact"/>
              <w:jc w:val="left"/>
              <w:rPr>
                <w:rFonts w:hint="eastAsia" w:ascii="仿宋_GB2312" w:hAnsi="仿宋" w:eastAsia="仿宋_GB2312"/>
                <w:sz w:val="24"/>
                <w:szCs w:val="24"/>
                <w:highlight w:val="none"/>
              </w:rPr>
            </w:pPr>
            <w:r>
              <w:rPr>
                <w:rFonts w:hint="eastAsia" w:ascii="仿宋_GB2312" w:hAnsi="仿宋" w:eastAsia="仿宋_GB2312"/>
                <w:sz w:val="24"/>
                <w:szCs w:val="24"/>
                <w:highlight w:val="none"/>
              </w:rPr>
              <w:t>并列第一作者的第2位/并列通讯作者的第2位 0.8，</w:t>
            </w:r>
          </w:p>
          <w:p>
            <w:pPr>
              <w:spacing w:line="260" w:lineRule="exact"/>
              <w:jc w:val="left"/>
              <w:rPr>
                <w:rFonts w:hint="default" w:ascii="仿宋_GB2312" w:hAnsi="仿宋" w:eastAsia="仿宋_GB2312"/>
                <w:sz w:val="24"/>
                <w:szCs w:val="24"/>
                <w:highlight w:val="none"/>
                <w:lang w:val="en-US" w:eastAsia="zh-CN"/>
              </w:rPr>
            </w:pPr>
            <w:r>
              <w:rPr>
                <w:rFonts w:hint="eastAsia" w:ascii="仿宋_GB2312" w:hAnsi="仿宋" w:eastAsia="仿宋_GB2312"/>
                <w:sz w:val="24"/>
                <w:szCs w:val="24"/>
                <w:highlight w:val="none"/>
              </w:rPr>
              <w:t>并列第一作者的第3位/并列通讯作者的第3位 0.7</w:t>
            </w:r>
            <w:r>
              <w:rPr>
                <w:rFonts w:hint="eastAsia" w:ascii="仿宋_GB2312" w:hAnsi="仿宋" w:eastAsia="仿宋_GB2312"/>
                <w:sz w:val="24"/>
                <w:szCs w:val="24"/>
                <w:highlight w:val="none"/>
                <w:lang w:eastAsia="zh-CN"/>
              </w:rPr>
              <w:t>。</w:t>
            </w:r>
          </w:p>
          <w:p>
            <w:pPr>
              <w:spacing w:line="260" w:lineRule="exact"/>
              <w:jc w:val="left"/>
              <w:rPr>
                <w:rFonts w:hint="eastAsia" w:ascii="仿宋_GB2312" w:hAnsi="仿宋" w:eastAsia="仿宋_GB2312"/>
                <w:b/>
                <w:bCs/>
                <w:sz w:val="24"/>
                <w:szCs w:val="24"/>
                <w:highlight w:val="none"/>
              </w:rPr>
            </w:pPr>
          </w:p>
          <w:p>
            <w:pPr>
              <w:spacing w:line="260" w:lineRule="exact"/>
              <w:jc w:val="left"/>
              <w:rPr>
                <w:rFonts w:ascii="仿宋_GB2312" w:hAnsi="仿宋" w:eastAsia="仿宋_GB2312"/>
                <w:sz w:val="24"/>
                <w:szCs w:val="24"/>
              </w:rPr>
            </w:pPr>
            <w:r>
              <w:rPr>
                <w:rFonts w:hint="eastAsia" w:ascii="仿宋_GB2312" w:hAnsi="仿宋" w:eastAsia="仿宋_GB2312"/>
                <w:b/>
                <w:bCs/>
                <w:sz w:val="24"/>
                <w:szCs w:val="24"/>
                <w:highlight w:val="none"/>
              </w:rPr>
              <w:t>类型系数：</w:t>
            </w:r>
            <w:r>
              <w:rPr>
                <w:rFonts w:hint="eastAsia" w:ascii="仿宋_GB2312" w:hAnsi="仿宋" w:eastAsia="仿宋_GB2312"/>
                <w:sz w:val="24"/>
                <w:szCs w:val="24"/>
                <w:highlight w:val="none"/>
              </w:rPr>
              <w:t>论著类系数为1；</w:t>
            </w:r>
            <w:r>
              <w:rPr>
                <w:rFonts w:hint="eastAsia" w:ascii="仿宋_GB2312" w:hAnsi="仿宋" w:eastAsia="仿宋_GB2312"/>
                <w:sz w:val="24"/>
                <w:szCs w:val="24"/>
                <w:highlight w:val="none"/>
                <w:lang w:val="en-US" w:eastAsia="zh-CN"/>
              </w:rPr>
              <w:t>非论著类系数为0.5。</w:t>
            </w:r>
          </w:p>
        </w:tc>
        <w:tc>
          <w:tcPr>
            <w:tcW w:w="711" w:type="dxa"/>
            <w:vAlign w:val="center"/>
          </w:tcPr>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2" w:type="dxa"/>
            <w:vMerge w:val="continue"/>
            <w:vAlign w:val="center"/>
          </w:tcPr>
          <w:p>
            <w:pPr>
              <w:spacing w:line="360" w:lineRule="exact"/>
              <w:jc w:val="center"/>
              <w:rPr>
                <w:rFonts w:hint="eastAsia" w:ascii="仿宋_GB2312" w:hAnsi="仿宋" w:eastAsia="仿宋_GB2312"/>
                <w:b/>
                <w:bCs/>
                <w:kern w:val="0"/>
                <w:sz w:val="22"/>
                <w:szCs w:val="24"/>
              </w:rPr>
            </w:pP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中华系列期刊</w:t>
            </w:r>
          </w:p>
        </w:tc>
        <w:tc>
          <w:tcPr>
            <w:tcW w:w="6080" w:type="dxa"/>
            <w:gridSpan w:val="4"/>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每篇分数=3（仅限</w:t>
            </w:r>
            <w:r>
              <w:rPr>
                <w:rFonts w:hint="eastAsia" w:ascii="仿宋_GB2312" w:hAnsi="仿宋" w:eastAsia="仿宋_GB2312"/>
                <w:kern w:val="0"/>
                <w:sz w:val="24"/>
                <w:szCs w:val="24"/>
                <w:lang w:val="en-US" w:eastAsia="zh-CN"/>
              </w:rPr>
              <w:t>一作或通讯一作</w:t>
            </w:r>
            <w:r>
              <w:rPr>
                <w:rFonts w:hint="eastAsia" w:ascii="仿宋_GB2312" w:hAnsi="仿宋" w:eastAsia="仿宋_GB2312"/>
                <w:kern w:val="0"/>
                <w:sz w:val="24"/>
                <w:szCs w:val="24"/>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北大版中文核心期刊</w:t>
            </w:r>
          </w:p>
        </w:tc>
        <w:tc>
          <w:tcPr>
            <w:tcW w:w="6080" w:type="dxa"/>
            <w:gridSpan w:val="4"/>
            <w:vAlign w:val="center"/>
          </w:tcPr>
          <w:p>
            <w:pPr>
              <w:spacing w:line="360" w:lineRule="exact"/>
              <w:jc w:val="center"/>
              <w:rPr>
                <w:rFonts w:hint="eastAsia" w:ascii="仿宋_GB2312" w:hAnsi="仿宋" w:eastAsia="仿宋_GB2312"/>
                <w:kern w:val="0"/>
                <w:sz w:val="24"/>
                <w:szCs w:val="24"/>
              </w:rPr>
            </w:pPr>
            <w:r>
              <w:rPr>
                <w:rFonts w:hint="eastAsia" w:ascii="仿宋_GB2312" w:hAnsi="仿宋" w:eastAsia="仿宋_GB2312"/>
                <w:kern w:val="0"/>
                <w:sz w:val="24"/>
                <w:szCs w:val="24"/>
              </w:rPr>
              <w:t>每篇分数=2（仅限</w:t>
            </w:r>
            <w:r>
              <w:rPr>
                <w:rFonts w:hint="eastAsia" w:ascii="仿宋_GB2312" w:hAnsi="仿宋" w:eastAsia="仿宋_GB2312"/>
                <w:kern w:val="0"/>
                <w:sz w:val="24"/>
                <w:szCs w:val="24"/>
                <w:lang w:val="en-US" w:eastAsia="zh-CN"/>
              </w:rPr>
              <w:t>一作或通讯一作</w:t>
            </w:r>
            <w:r>
              <w:rPr>
                <w:rFonts w:hint="eastAsia" w:ascii="仿宋_GB2312" w:hAnsi="仿宋" w:eastAsia="仿宋_GB2312"/>
                <w:kern w:val="0"/>
                <w:sz w:val="24"/>
                <w:szCs w:val="24"/>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2248" w:type="dxa"/>
            <w:gridSpan w:val="3"/>
            <w:vAlign w:val="center"/>
          </w:tcPr>
          <w:p>
            <w:pPr>
              <w:spacing w:line="360" w:lineRule="exact"/>
              <w:jc w:val="center"/>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lang w:val="en-US" w:eastAsia="zh-CN"/>
              </w:rPr>
              <w:t>统计源期刊</w:t>
            </w:r>
          </w:p>
        </w:tc>
        <w:tc>
          <w:tcPr>
            <w:tcW w:w="6080" w:type="dxa"/>
            <w:gridSpan w:val="4"/>
            <w:vAlign w:val="center"/>
          </w:tcPr>
          <w:p>
            <w:pPr>
              <w:spacing w:line="360" w:lineRule="exact"/>
              <w:jc w:val="center"/>
              <w:rPr>
                <w:rFonts w:hint="eastAsia" w:ascii="仿宋_GB2312" w:hAnsi="仿宋" w:eastAsia="仿宋_GB2312"/>
                <w:sz w:val="24"/>
                <w:szCs w:val="24"/>
              </w:rPr>
            </w:pPr>
            <w:r>
              <w:rPr>
                <w:rFonts w:hint="eastAsia" w:ascii="仿宋_GB2312" w:hAnsi="仿宋" w:eastAsia="仿宋_GB2312"/>
                <w:sz w:val="24"/>
                <w:szCs w:val="24"/>
              </w:rPr>
              <w:t>每篇分数=</w:t>
            </w:r>
            <w:r>
              <w:rPr>
                <w:rFonts w:hint="eastAsia" w:ascii="仿宋_GB2312" w:hAnsi="仿宋" w:eastAsia="仿宋_GB2312"/>
                <w:sz w:val="24"/>
                <w:szCs w:val="24"/>
                <w:lang w:val="en-US" w:eastAsia="zh-CN"/>
              </w:rPr>
              <w:t>0.5</w:t>
            </w:r>
            <w:r>
              <w:rPr>
                <w:rFonts w:hint="eastAsia" w:ascii="仿宋_GB2312" w:hAnsi="仿宋" w:eastAsia="仿宋_GB2312"/>
                <w:sz w:val="24"/>
                <w:szCs w:val="24"/>
              </w:rPr>
              <w:t>（仅限</w:t>
            </w:r>
            <w:r>
              <w:rPr>
                <w:rFonts w:hint="eastAsia" w:ascii="仿宋_GB2312" w:hAnsi="仿宋" w:eastAsia="仿宋_GB2312"/>
                <w:sz w:val="24"/>
                <w:szCs w:val="24"/>
                <w:lang w:val="en-US" w:eastAsia="zh-CN"/>
              </w:rPr>
              <w:t>一作或</w:t>
            </w:r>
            <w:r>
              <w:rPr>
                <w:rFonts w:hint="eastAsia" w:ascii="仿宋_GB2312" w:hAnsi="仿宋" w:eastAsia="仿宋_GB2312"/>
                <w:kern w:val="0"/>
                <w:sz w:val="24"/>
                <w:szCs w:val="24"/>
                <w:lang w:val="en-US" w:eastAsia="zh-CN"/>
              </w:rPr>
              <w:t>通讯一作</w:t>
            </w:r>
            <w:r>
              <w:rPr>
                <w:rFonts w:hint="eastAsia" w:ascii="仿宋_GB2312" w:hAnsi="仿宋" w:eastAsia="仿宋_GB2312"/>
                <w:sz w:val="24"/>
                <w:szCs w:val="24"/>
              </w:rPr>
              <w:t>）</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8328" w:type="dxa"/>
            <w:gridSpan w:val="7"/>
            <w:vAlign w:val="center"/>
          </w:tcPr>
          <w:p>
            <w:pPr>
              <w:spacing w:line="360" w:lineRule="exact"/>
              <w:jc w:val="left"/>
              <w:rPr>
                <w:rFonts w:hint="eastAsia" w:ascii="仿宋_GB2312" w:hAnsi="仿宋" w:eastAsia="仿宋_GB2312"/>
                <w:sz w:val="24"/>
                <w:szCs w:val="24"/>
              </w:rPr>
            </w:pPr>
            <w:r>
              <w:rPr>
                <w:rFonts w:hint="eastAsia" w:ascii="仿宋_GB2312" w:hAnsi="仿宋" w:eastAsia="仿宋_GB2312"/>
                <w:color w:val="262626"/>
                <w:w w:val="90"/>
                <w:kern w:val="0"/>
                <w:sz w:val="24"/>
                <w:szCs w:val="24"/>
                <w:lang w:val="en-US" w:eastAsia="zh-CN"/>
              </w:rPr>
              <w:t>注：</w:t>
            </w:r>
            <w:r>
              <w:rPr>
                <w:rFonts w:hint="eastAsia" w:ascii="仿宋_GB2312" w:hAnsi="仿宋" w:eastAsia="仿宋_GB2312"/>
                <w:color w:val="262626"/>
                <w:w w:val="90"/>
                <w:kern w:val="0"/>
                <w:sz w:val="24"/>
                <w:szCs w:val="24"/>
              </w:rPr>
              <w:t>不包括刊登在会议论文集上的论文，也不包括增刊、副刊</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专利专著</w:t>
            </w:r>
          </w:p>
        </w:tc>
        <w:tc>
          <w:tcPr>
            <w:tcW w:w="2248" w:type="dxa"/>
            <w:gridSpan w:val="3"/>
            <w:vMerge w:val="restart"/>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学术专著</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主编5分   （人卫社著作额外加5分）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Merge w:val="continue"/>
            <w:vAlign w:val="center"/>
          </w:tcPr>
          <w:p>
            <w:pPr>
              <w:spacing w:line="360" w:lineRule="exact"/>
              <w:jc w:val="center"/>
              <w:rPr>
                <w:rFonts w:ascii="仿宋_GB2312" w:hAnsi="仿宋" w:eastAsia="仿宋_GB2312"/>
                <w:kern w:val="0"/>
                <w:sz w:val="24"/>
                <w:szCs w:val="24"/>
              </w:rPr>
            </w:pP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副主编3分 （人卫社著作额外加3分）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Merge w:val="continue"/>
            <w:vAlign w:val="center"/>
          </w:tcPr>
          <w:p>
            <w:pPr>
              <w:spacing w:line="360" w:lineRule="exact"/>
              <w:jc w:val="center"/>
              <w:rPr>
                <w:rFonts w:ascii="仿宋_GB2312" w:hAnsi="仿宋" w:eastAsia="仿宋_GB2312"/>
                <w:kern w:val="0"/>
                <w:sz w:val="24"/>
                <w:szCs w:val="24"/>
              </w:rPr>
            </w:pP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参编2     （人卫社著作额外加2分）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发明专利（授权）</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第一发明人5分，第二发明人4分，其余参与者赋2分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实用新型专利（授权）</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第一发明人3分，第二发明人2分，其余参与者赋1分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科研项目</w:t>
            </w:r>
          </w:p>
          <w:p>
            <w:pPr>
              <w:spacing w:line="360" w:lineRule="exact"/>
              <w:jc w:val="center"/>
              <w:rPr>
                <w:rFonts w:hint="eastAsia" w:ascii="仿宋_GB2312" w:hAnsi="仿宋" w:eastAsia="仿宋_GB2312"/>
                <w:b/>
                <w:bCs/>
                <w:kern w:val="0"/>
                <w:sz w:val="24"/>
                <w:szCs w:val="28"/>
                <w:lang w:eastAsia="zh-CN"/>
              </w:rPr>
            </w:pPr>
            <w:r>
              <w:rPr>
                <w:rFonts w:hint="eastAsia" w:ascii="仿宋_GB2312" w:hAnsi="仿宋" w:eastAsia="仿宋_GB2312"/>
                <w:b/>
                <w:bCs/>
                <w:kern w:val="0"/>
                <w:sz w:val="24"/>
                <w:szCs w:val="28"/>
              </w:rPr>
              <w:t>立项</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w:t>
            </w:r>
          </w:p>
        </w:tc>
        <w:tc>
          <w:tcPr>
            <w:tcW w:w="6080" w:type="dxa"/>
            <w:gridSpan w:val="4"/>
            <w:vAlign w:val="center"/>
          </w:tcPr>
          <w:p>
            <w:pPr>
              <w:spacing w:line="360" w:lineRule="exact"/>
              <w:jc w:val="left"/>
              <w:rPr>
                <w:rFonts w:hint="default" w:ascii="仿宋_GB2312" w:hAnsi="仿宋" w:eastAsia="仿宋_GB2312"/>
                <w:kern w:val="0"/>
                <w:sz w:val="24"/>
                <w:szCs w:val="24"/>
                <w:lang w:val="en-US" w:eastAsia="zh-CN"/>
              </w:rPr>
            </w:pPr>
            <w:r>
              <w:rPr>
                <w:rFonts w:hint="eastAsia" w:ascii="仿宋_GB2312" w:hAnsi="仿宋" w:eastAsia="仿宋_GB2312"/>
                <w:sz w:val="24"/>
                <w:szCs w:val="24"/>
              </w:rPr>
              <w:t>前9名，每项按排名赋分（30、20、18、16、14、12、10、8、6）</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前7名，每项按排名赋分（10、6、5、4、3、2、1）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前5名，每项按排名赋分（7、4、3、2、1）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7"/>
            <w:vAlign w:val="center"/>
          </w:tcPr>
          <w:p>
            <w:pPr>
              <w:spacing w:line="360" w:lineRule="exact"/>
              <w:jc w:val="left"/>
              <w:rPr>
                <w:rFonts w:hint="default" w:ascii="仿宋_GB2312" w:hAnsi="仿宋" w:eastAsia="仿宋_GB2312"/>
                <w:sz w:val="24"/>
                <w:szCs w:val="24"/>
                <w:lang w:val="en-US"/>
              </w:rPr>
            </w:pPr>
            <w:r>
              <w:rPr>
                <w:rFonts w:hint="eastAsia" w:ascii="仿宋_GB2312" w:hAnsi="仿宋" w:eastAsia="仿宋_GB2312"/>
                <w:kern w:val="0"/>
                <w:sz w:val="24"/>
                <w:szCs w:val="24"/>
                <w:lang w:val="en-US" w:eastAsia="zh-CN"/>
              </w:rPr>
              <w:t>注：除科技部/厅/局按正常级别赋分外，其他单位部门立项均降一级赋分；计算排名时包含主持人。</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restart"/>
            <w:vAlign w:val="center"/>
          </w:tcPr>
          <w:p>
            <w:pPr>
              <w:spacing w:line="360" w:lineRule="exact"/>
              <w:jc w:val="center"/>
              <w:rPr>
                <w:rFonts w:ascii="仿宋_GB2312" w:hAnsi="仿宋" w:eastAsia="仿宋_GB2312"/>
                <w:kern w:val="0"/>
                <w:sz w:val="24"/>
                <w:szCs w:val="28"/>
              </w:rPr>
            </w:pPr>
            <w:r>
              <w:rPr>
                <w:rFonts w:hint="eastAsia" w:ascii="仿宋_GB2312" w:hAnsi="仿宋" w:eastAsia="仿宋_GB2312"/>
                <w:b/>
                <w:bCs/>
                <w:kern w:val="0"/>
                <w:sz w:val="24"/>
                <w:szCs w:val="28"/>
              </w:rPr>
              <w:t>科技奖励</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自然科学/技术发明/科技进步奖。每项按证书上排名赋分（300、200、180、160、140、120、第7名以后都给100分）除以奖励等级（即二等奖，上述分数除以二）</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自然科学/技术发明/科技进步奖、教育部科学技术奖、中华医学科技奖。每项按证书上排名赋分（90、70、60、第4名以后都给30分），再除以奖励等级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sz w:val="24"/>
                <w:szCs w:val="24"/>
              </w:rPr>
            </w:pPr>
            <w:r>
              <w:rPr>
                <w:rFonts w:hint="eastAsia" w:ascii="仿宋_GB2312" w:hAnsi="仿宋" w:eastAsia="仿宋_GB2312"/>
                <w:sz w:val="24"/>
                <w:szCs w:val="24"/>
              </w:rPr>
              <w:t>自然科学/技术发明/科技进步奖。每项按证书上排名赋分（30、20、15、第4名以后都给10分），再除以奖励等级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lang w:val="en-US" w:eastAsia="zh-CN"/>
              </w:rPr>
              <w:t>科研临床</w:t>
            </w:r>
            <w:r>
              <w:rPr>
                <w:rFonts w:hint="eastAsia" w:ascii="仿宋_GB2312" w:hAnsi="仿宋" w:eastAsia="仿宋_GB2312"/>
                <w:b/>
                <w:bCs/>
                <w:kern w:val="0"/>
                <w:sz w:val="24"/>
                <w:szCs w:val="28"/>
              </w:rPr>
              <w:t>竞赛</w:t>
            </w: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前3名，每项按排名赋分（10、5、2）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前3名，每项按排名赋分（5、2、1）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前3名，每项按排名赋分（2、1、0.5）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校级获奖</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rPr>
              <w:t>前3名，每项按排名赋分（1、0.5、0.2）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7"/>
            <w:vAlign w:val="center"/>
          </w:tcPr>
          <w:p>
            <w:pPr>
              <w:spacing w:line="360" w:lineRule="exact"/>
              <w:jc w:val="center"/>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lang w:val="en-US" w:eastAsia="zh-CN"/>
              </w:rPr>
              <w:t>注：多级别单位部门共同举办，按照最低等级单位部门级别认定；</w:t>
            </w:r>
            <w:bookmarkStart w:id="0" w:name="_GoBack"/>
            <w:bookmarkEnd w:id="0"/>
            <w:r>
              <w:rPr>
                <w:rFonts w:hint="eastAsia" w:ascii="仿宋_GB2312" w:hAnsi="仿宋" w:eastAsia="仿宋_GB2312"/>
                <w:kern w:val="0"/>
                <w:sz w:val="24"/>
                <w:szCs w:val="24"/>
                <w:lang w:val="en-US" w:eastAsia="zh-CN"/>
              </w:rPr>
              <w:t>同一项目多次获不同级别奖项，限加最高分，不累计叠加</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ascii="仿宋_GB2312" w:hAnsi="仿宋" w:eastAsia="仿宋_GB2312"/>
                <w:kern w:val="0"/>
                <w:sz w:val="24"/>
                <w:szCs w:val="28"/>
              </w:rPr>
            </w:pPr>
            <w:r>
              <w:rPr>
                <w:rFonts w:hint="eastAsia" w:ascii="仿宋_GB2312" w:hAnsi="仿宋" w:eastAsia="仿宋_GB2312"/>
                <w:b/>
                <w:bCs/>
                <w:kern w:val="0"/>
                <w:sz w:val="24"/>
                <w:szCs w:val="28"/>
              </w:rPr>
              <w:t>综合</w:t>
            </w:r>
            <w:r>
              <w:rPr>
                <w:rFonts w:hint="eastAsia" w:ascii="仿宋_GB2312" w:hAnsi="仿宋" w:eastAsia="仿宋_GB2312"/>
                <w:b/>
                <w:bCs/>
                <w:kern w:val="0"/>
                <w:sz w:val="24"/>
                <w:szCs w:val="28"/>
                <w:lang w:val="en-US" w:eastAsia="zh-CN"/>
              </w:rPr>
              <w:t>素质</w:t>
            </w:r>
          </w:p>
        </w:tc>
        <w:tc>
          <w:tcPr>
            <w:tcW w:w="1540" w:type="dxa"/>
            <w:vMerge w:val="restart"/>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荣誉称号</w:t>
            </w: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国家</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省级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市级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vAlign w:val="center"/>
          </w:tcPr>
          <w:p>
            <w:pPr>
              <w:spacing w:line="360" w:lineRule="exact"/>
              <w:jc w:val="center"/>
              <w:rPr>
                <w:rFonts w:ascii="仿宋_GB2312" w:hAnsi="仿宋" w:eastAsia="仿宋_GB2312"/>
                <w:kern w:val="0"/>
                <w:sz w:val="24"/>
                <w:szCs w:val="24"/>
              </w:rPr>
            </w:pPr>
          </w:p>
        </w:tc>
        <w:tc>
          <w:tcPr>
            <w:tcW w:w="708" w:type="dxa"/>
            <w:gridSpan w:val="2"/>
            <w:vAlign w:val="center"/>
          </w:tcPr>
          <w:p>
            <w:pPr>
              <w:spacing w:line="360" w:lineRule="exact"/>
              <w:jc w:val="center"/>
              <w:rPr>
                <w:rFonts w:ascii="仿宋_GB2312" w:hAnsi="仿宋" w:eastAsia="仿宋_GB2312"/>
                <w:kern w:val="0"/>
                <w:sz w:val="24"/>
                <w:szCs w:val="24"/>
              </w:rPr>
            </w:pPr>
            <w:r>
              <w:rPr>
                <w:rFonts w:hint="eastAsia" w:ascii="仿宋_GB2312" w:hAnsi="仿宋" w:eastAsia="仿宋_GB2312"/>
                <w:kern w:val="0"/>
                <w:sz w:val="24"/>
                <w:szCs w:val="24"/>
              </w:rPr>
              <w:t>校级</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kern w:val="0"/>
                <w:sz w:val="24"/>
                <w:szCs w:val="24"/>
              </w:rPr>
              <w:t>0.5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1540" w:type="dxa"/>
            <w:vMerge w:val="continue"/>
            <w:vAlign w:val="center"/>
          </w:tcPr>
          <w:p>
            <w:pPr>
              <w:spacing w:line="360" w:lineRule="exact"/>
              <w:jc w:val="center"/>
              <w:rPr>
                <w:rFonts w:ascii="仿宋_GB2312" w:hAnsi="仿宋" w:eastAsia="仿宋_GB2312"/>
                <w:kern w:val="0"/>
                <w:sz w:val="24"/>
                <w:szCs w:val="24"/>
              </w:rPr>
            </w:pPr>
          </w:p>
        </w:tc>
        <w:tc>
          <w:tcPr>
            <w:tcW w:w="6788" w:type="dxa"/>
            <w:gridSpan w:val="6"/>
            <w:vAlign w:val="center"/>
          </w:tcPr>
          <w:p>
            <w:pPr>
              <w:spacing w:line="360" w:lineRule="exact"/>
              <w:jc w:val="left"/>
              <w:rPr>
                <w:rFonts w:hint="eastAsia" w:ascii="仿宋_GB2312" w:hAnsi="仿宋" w:eastAsia="仿宋_GB2312"/>
                <w:kern w:val="0"/>
                <w:sz w:val="24"/>
                <w:szCs w:val="24"/>
              </w:rPr>
            </w:pPr>
            <w:r>
              <w:rPr>
                <w:rFonts w:hint="eastAsia" w:ascii="仿宋_GB2312" w:hAnsi="仿宋" w:eastAsia="仿宋_GB2312"/>
                <w:kern w:val="0"/>
                <w:sz w:val="24"/>
                <w:szCs w:val="28"/>
                <w:lang w:val="en-US" w:eastAsia="zh-CN"/>
              </w:rPr>
              <w:t>注：</w:t>
            </w:r>
            <w:r>
              <w:rPr>
                <w:rFonts w:hint="eastAsia" w:ascii="仿宋_GB2312" w:hAnsi="仿宋" w:eastAsia="仿宋_GB2312"/>
                <w:kern w:val="0"/>
                <w:sz w:val="24"/>
                <w:szCs w:val="28"/>
              </w:rPr>
              <w:t>获多项</w:t>
            </w:r>
            <w:r>
              <w:rPr>
                <w:rFonts w:hint="eastAsia" w:ascii="仿宋_GB2312" w:hAnsi="仿宋" w:eastAsia="仿宋_GB2312"/>
                <w:kern w:val="0"/>
                <w:sz w:val="24"/>
                <w:szCs w:val="28"/>
                <w:lang w:val="en-US" w:eastAsia="zh-CN"/>
              </w:rPr>
              <w:t>同类不同级别的</w:t>
            </w:r>
            <w:r>
              <w:rPr>
                <w:rFonts w:hint="eastAsia" w:ascii="仿宋_GB2312" w:hAnsi="仿宋" w:eastAsia="仿宋_GB2312"/>
                <w:kern w:val="0"/>
                <w:sz w:val="24"/>
                <w:szCs w:val="28"/>
              </w:rPr>
              <w:t>荣誉称号，赋分限加最高</w:t>
            </w:r>
            <w:r>
              <w:rPr>
                <w:rFonts w:hint="eastAsia" w:ascii="仿宋_GB2312" w:hAnsi="仿宋" w:eastAsia="仿宋_GB2312"/>
                <w:kern w:val="0"/>
                <w:sz w:val="24"/>
                <w:szCs w:val="28"/>
                <w:lang w:val="en-US" w:eastAsia="zh-CN"/>
              </w:rPr>
              <w:t>级别</w:t>
            </w:r>
            <w:r>
              <w:rPr>
                <w:rFonts w:hint="eastAsia" w:ascii="仿宋_GB2312" w:hAnsi="仿宋" w:eastAsia="仿宋_GB2312"/>
                <w:kern w:val="0"/>
                <w:sz w:val="24"/>
                <w:szCs w:val="28"/>
              </w:rPr>
              <w:t>分，不累计叠加</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color w:val="262626"/>
                <w:kern w:val="0"/>
                <w:sz w:val="24"/>
                <w:szCs w:val="24"/>
              </w:rPr>
            </w:pPr>
            <w:r>
              <w:rPr>
                <w:rFonts w:hint="eastAsia" w:ascii="仿宋_GB2312" w:hAnsi="仿宋" w:eastAsia="仿宋_GB2312"/>
                <w:kern w:val="0"/>
                <w:sz w:val="24"/>
                <w:szCs w:val="24"/>
              </w:rPr>
              <w:t>学生干部（0-5分）</w:t>
            </w:r>
          </w:p>
        </w:tc>
        <w:tc>
          <w:tcPr>
            <w:tcW w:w="6080" w:type="dxa"/>
            <w:gridSpan w:val="4"/>
            <w:vAlign w:val="center"/>
          </w:tcPr>
          <w:p>
            <w:pPr>
              <w:spacing w:line="360" w:lineRule="exact"/>
              <w:jc w:val="left"/>
              <w:rPr>
                <w:rFonts w:hint="default" w:ascii="仿宋_GB2312" w:hAnsi="仿宋" w:eastAsia="仿宋_GB2312"/>
                <w:kern w:val="0"/>
                <w:sz w:val="24"/>
                <w:szCs w:val="24"/>
                <w:lang w:val="en-US" w:eastAsia="zh-CN"/>
              </w:rPr>
            </w:pPr>
            <w:r>
              <w:rPr>
                <w:rFonts w:hint="eastAsia" w:ascii="仿宋_GB2312" w:hAnsi="仿宋" w:eastAsia="仿宋_GB2312"/>
                <w:kern w:val="0"/>
                <w:sz w:val="24"/>
                <w:szCs w:val="24"/>
              </w:rPr>
              <w:t>在研究生学生管理中担任学生干部，由附属第一医院研究生学生</w:t>
            </w:r>
            <w:r>
              <w:rPr>
                <w:rFonts w:hint="eastAsia" w:ascii="仿宋_GB2312" w:hAnsi="仿宋" w:eastAsia="仿宋_GB2312"/>
                <w:kern w:val="0"/>
                <w:sz w:val="24"/>
                <w:szCs w:val="24"/>
                <w:lang w:val="en-US" w:eastAsia="zh-CN"/>
              </w:rPr>
              <w:t>管理</w:t>
            </w:r>
            <w:r>
              <w:rPr>
                <w:rFonts w:hint="eastAsia" w:ascii="仿宋_GB2312" w:hAnsi="仿宋" w:eastAsia="仿宋_GB2312"/>
                <w:kern w:val="0"/>
                <w:sz w:val="24"/>
                <w:szCs w:val="24"/>
              </w:rPr>
              <w:t>办公室</w:t>
            </w:r>
            <w:r>
              <w:rPr>
                <w:rFonts w:hint="eastAsia" w:ascii="仿宋_GB2312" w:hAnsi="仿宋" w:eastAsia="仿宋_GB2312"/>
                <w:kern w:val="0"/>
                <w:sz w:val="24"/>
                <w:szCs w:val="24"/>
                <w:lang w:val="en-US" w:eastAsia="zh-CN"/>
              </w:rPr>
              <w:t>综合年度考评和日常工作表现认定后，出具评分。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gridSpan w:val="3"/>
            <w:vAlign w:val="center"/>
          </w:tcPr>
          <w:p>
            <w:pPr>
              <w:spacing w:line="360" w:lineRule="exact"/>
              <w:jc w:val="center"/>
              <w:rPr>
                <w:rFonts w:ascii="仿宋_GB2312" w:hAnsi="仿宋" w:eastAsia="仿宋_GB2312"/>
                <w:color w:val="262626"/>
                <w:kern w:val="0"/>
                <w:sz w:val="24"/>
                <w:szCs w:val="24"/>
              </w:rPr>
            </w:pPr>
            <w:r>
              <w:rPr>
                <w:rFonts w:hint="eastAsia" w:ascii="仿宋_GB2312" w:hAnsi="仿宋" w:eastAsia="仿宋_GB2312"/>
                <w:kern w:val="0"/>
                <w:sz w:val="24"/>
                <w:szCs w:val="24"/>
              </w:rPr>
              <w:t>志愿</w:t>
            </w:r>
            <w:r>
              <w:rPr>
                <w:rFonts w:hint="eastAsia" w:ascii="仿宋_GB2312" w:hAnsi="仿宋" w:eastAsia="仿宋_GB2312"/>
                <w:kern w:val="0"/>
                <w:sz w:val="24"/>
                <w:szCs w:val="24"/>
                <w:lang w:val="en-US" w:eastAsia="zh-CN"/>
              </w:rPr>
              <w:t>服务</w:t>
            </w:r>
            <w:r>
              <w:rPr>
                <w:rFonts w:hint="eastAsia" w:ascii="仿宋_GB2312" w:hAnsi="仿宋" w:eastAsia="仿宋_GB2312"/>
                <w:kern w:val="0"/>
                <w:sz w:val="24"/>
                <w:szCs w:val="24"/>
              </w:rPr>
              <w:t>（</w:t>
            </w:r>
            <w:r>
              <w:rPr>
                <w:rFonts w:hint="eastAsia" w:ascii="仿宋_GB2312" w:hAnsi="仿宋" w:eastAsia="仿宋_GB2312"/>
                <w:kern w:val="0"/>
                <w:sz w:val="24"/>
                <w:szCs w:val="24"/>
                <w:lang w:val="en-US" w:eastAsia="zh-CN"/>
              </w:rPr>
              <w:t>0-3</w:t>
            </w:r>
            <w:r>
              <w:rPr>
                <w:rFonts w:hint="eastAsia" w:ascii="仿宋_GB2312" w:hAnsi="仿宋" w:eastAsia="仿宋_GB2312"/>
                <w:kern w:val="0"/>
                <w:sz w:val="24"/>
                <w:szCs w:val="24"/>
              </w:rPr>
              <w:t>分）</w:t>
            </w:r>
          </w:p>
        </w:tc>
        <w:tc>
          <w:tcPr>
            <w:tcW w:w="6080" w:type="dxa"/>
            <w:gridSpan w:val="4"/>
            <w:vAlign w:val="center"/>
          </w:tcPr>
          <w:p>
            <w:pPr>
              <w:spacing w:line="360" w:lineRule="exact"/>
              <w:jc w:val="left"/>
              <w:rPr>
                <w:rFonts w:ascii="仿宋_GB2312" w:hAnsi="仿宋" w:eastAsia="仿宋_GB2312"/>
                <w:kern w:val="0"/>
                <w:sz w:val="24"/>
                <w:szCs w:val="24"/>
              </w:rPr>
            </w:pPr>
            <w:r>
              <w:rPr>
                <w:rFonts w:hint="eastAsia" w:ascii="仿宋_GB2312" w:hAnsi="仿宋" w:eastAsia="仿宋_GB2312"/>
                <w:sz w:val="24"/>
                <w:szCs w:val="24"/>
                <w:lang w:val="en-US" w:eastAsia="zh-CN"/>
              </w:rPr>
              <w:t>研究生志愿服务工作，经服务部门出具相关材料，由相关</w:t>
            </w:r>
            <w:r>
              <w:rPr>
                <w:rFonts w:hint="eastAsia" w:ascii="仿宋_GB2312" w:hAnsi="仿宋" w:eastAsia="仿宋_GB2312"/>
                <w:kern w:val="0"/>
                <w:sz w:val="24"/>
                <w:szCs w:val="24"/>
              </w:rPr>
              <w:t>奖学金</w:t>
            </w:r>
            <w:r>
              <w:rPr>
                <w:rFonts w:hint="eastAsia" w:ascii="仿宋_GB2312" w:hAnsi="仿宋" w:eastAsia="仿宋_GB2312"/>
                <w:kern w:val="0"/>
                <w:sz w:val="24"/>
                <w:szCs w:val="24"/>
                <w:lang w:val="en-US" w:eastAsia="zh-CN"/>
              </w:rPr>
              <w:t>工作</w:t>
            </w:r>
            <w:r>
              <w:rPr>
                <w:rFonts w:hint="eastAsia" w:ascii="仿宋_GB2312" w:hAnsi="仿宋" w:eastAsia="仿宋_GB2312"/>
                <w:kern w:val="0"/>
                <w:sz w:val="24"/>
                <w:szCs w:val="24"/>
              </w:rPr>
              <w:t>评审委员会</w:t>
            </w:r>
            <w:r>
              <w:rPr>
                <w:rFonts w:hint="eastAsia" w:ascii="仿宋_GB2312" w:hAnsi="仿宋" w:eastAsia="仿宋_GB2312"/>
                <w:kern w:val="0"/>
                <w:sz w:val="24"/>
                <w:szCs w:val="24"/>
                <w:lang w:val="en-US" w:eastAsia="zh-CN"/>
              </w:rPr>
              <w:t>认定，</w:t>
            </w:r>
            <w:r>
              <w:rPr>
                <w:rFonts w:hint="eastAsia" w:ascii="仿宋_GB2312" w:hAnsi="仿宋" w:eastAsia="仿宋_GB2312"/>
                <w:sz w:val="24"/>
                <w:szCs w:val="24"/>
                <w:lang w:val="en-US" w:eastAsia="zh-CN"/>
              </w:rPr>
              <w:t>一次0.2分，满分3分封顶。</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262" w:type="dxa"/>
            <w:tcBorders>
              <w:left w:val="single" w:color="auto" w:sz="4" w:space="0"/>
              <w:right w:val="nil"/>
            </w:tcBorders>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推荐等级</w:t>
            </w:r>
          </w:p>
        </w:tc>
        <w:tc>
          <w:tcPr>
            <w:tcW w:w="2248" w:type="dxa"/>
            <w:gridSpan w:val="3"/>
            <w:vAlign w:val="center"/>
          </w:tcPr>
          <w:p>
            <w:pPr>
              <w:spacing w:line="360" w:lineRule="exact"/>
              <w:jc w:val="center"/>
              <w:rPr>
                <w:rFonts w:ascii="仿宋_GB2312" w:hAnsi="仿宋" w:eastAsia="仿宋_GB2312"/>
                <w:b/>
                <w:bCs/>
                <w:kern w:val="0"/>
                <w:sz w:val="24"/>
                <w:szCs w:val="24"/>
              </w:rPr>
            </w:pPr>
          </w:p>
        </w:tc>
        <w:tc>
          <w:tcPr>
            <w:tcW w:w="1418" w:type="dxa"/>
            <w:vAlign w:val="center"/>
          </w:tcPr>
          <w:p>
            <w:pPr>
              <w:spacing w:line="360" w:lineRule="exact"/>
              <w:jc w:val="left"/>
              <w:rPr>
                <w:rFonts w:ascii="仿宋_GB2312" w:hAnsi="仿宋" w:eastAsia="仿宋_GB2312"/>
                <w:b/>
                <w:bCs/>
                <w:kern w:val="0"/>
                <w:sz w:val="24"/>
                <w:szCs w:val="24"/>
              </w:rPr>
            </w:pPr>
            <w:r>
              <w:rPr>
                <w:rFonts w:hint="eastAsia" w:ascii="仿宋_GB2312" w:hAnsi="仿宋" w:eastAsia="仿宋_GB2312"/>
                <w:b/>
                <w:bCs/>
                <w:kern w:val="0"/>
                <w:sz w:val="24"/>
                <w:szCs w:val="24"/>
              </w:rPr>
              <w:t>导师签字</w:t>
            </w:r>
          </w:p>
        </w:tc>
        <w:tc>
          <w:tcPr>
            <w:tcW w:w="2281" w:type="dxa"/>
            <w:vAlign w:val="center"/>
          </w:tcPr>
          <w:p>
            <w:pPr>
              <w:spacing w:line="360" w:lineRule="exact"/>
              <w:jc w:val="left"/>
              <w:rPr>
                <w:rFonts w:ascii="仿宋_GB2312" w:hAnsi="仿宋" w:eastAsia="仿宋_GB2312"/>
                <w:b/>
                <w:bCs/>
                <w:kern w:val="0"/>
                <w:sz w:val="24"/>
                <w:szCs w:val="24"/>
              </w:rPr>
            </w:pPr>
          </w:p>
        </w:tc>
        <w:tc>
          <w:tcPr>
            <w:tcW w:w="662" w:type="dxa"/>
            <w:vAlign w:val="center"/>
          </w:tcPr>
          <w:p>
            <w:pPr>
              <w:spacing w:line="360" w:lineRule="exact"/>
              <w:jc w:val="left"/>
              <w:rPr>
                <w:rFonts w:ascii="仿宋_GB2312" w:hAnsi="仿宋" w:eastAsia="仿宋_GB2312"/>
                <w:b/>
                <w:bCs/>
                <w:kern w:val="0"/>
                <w:sz w:val="24"/>
                <w:szCs w:val="24"/>
              </w:rPr>
            </w:pPr>
            <w:r>
              <w:rPr>
                <w:rFonts w:hint="eastAsia" w:ascii="仿宋_GB2312" w:hAnsi="仿宋" w:eastAsia="仿宋_GB2312"/>
                <w:b/>
                <w:bCs/>
                <w:kern w:val="0"/>
                <w:sz w:val="24"/>
                <w:szCs w:val="24"/>
              </w:rPr>
              <w:t>总分</w:t>
            </w:r>
          </w:p>
        </w:tc>
        <w:tc>
          <w:tcPr>
            <w:tcW w:w="2430" w:type="dxa"/>
            <w:gridSpan w:val="2"/>
            <w:vAlign w:val="center"/>
          </w:tcPr>
          <w:p>
            <w:pPr>
              <w:spacing w:line="360" w:lineRule="exact"/>
              <w:jc w:val="left"/>
              <w:rPr>
                <w:rFonts w:ascii="仿宋_GB2312" w:hAnsi="仿宋" w:eastAsia="仿宋_GB2312"/>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3023" w:type="dxa"/>
            <w:gridSpan w:val="3"/>
            <w:tcBorders>
              <w:left w:val="single" w:color="auto" w:sz="4" w:space="0"/>
              <w:right w:val="nil"/>
            </w:tcBorders>
            <w:vAlign w:val="center"/>
          </w:tcPr>
          <w:p>
            <w:pPr>
              <w:spacing w:line="240" w:lineRule="exact"/>
              <w:jc w:val="center"/>
              <w:rPr>
                <w:rFonts w:ascii="仿宋_GB2312" w:hAnsi="仿宋" w:eastAsia="仿宋_GB2312"/>
                <w:b/>
                <w:bCs/>
                <w:kern w:val="0"/>
                <w:sz w:val="24"/>
                <w:szCs w:val="24"/>
              </w:rPr>
            </w:pPr>
            <w:r>
              <w:rPr>
                <w:rFonts w:hint="eastAsia" w:ascii="仿宋_GB2312" w:hAnsi="仿宋" w:eastAsia="仿宋_GB2312"/>
                <w:b/>
                <w:bCs/>
                <w:kern w:val="0"/>
                <w:sz w:val="24"/>
                <w:szCs w:val="24"/>
              </w:rPr>
              <w:t>教研室奖学金工作评审委员会负责人签字</w:t>
            </w:r>
          </w:p>
        </w:tc>
        <w:tc>
          <w:tcPr>
            <w:tcW w:w="7278" w:type="dxa"/>
            <w:gridSpan w:val="6"/>
            <w:vAlign w:val="center"/>
          </w:tcPr>
          <w:p>
            <w:pPr>
              <w:spacing w:line="240" w:lineRule="exact"/>
              <w:jc w:val="left"/>
              <w:rPr>
                <w:rFonts w:ascii="仿宋_GB2312" w:hAnsi="仿宋" w:eastAsia="仿宋_GB2312"/>
                <w:b/>
                <w:bCs/>
                <w:kern w:val="0"/>
                <w:sz w:val="24"/>
                <w:szCs w:val="24"/>
              </w:rPr>
            </w:pPr>
          </w:p>
        </w:tc>
      </w:tr>
    </w:tbl>
    <w:p>
      <w:pPr>
        <w:spacing w:before="80" w:beforeLines="25" w:beforeAutospacing="0" w:line="240" w:lineRule="exact"/>
        <w:jc w:val="center"/>
        <w:rPr>
          <w:rFonts w:hint="eastAsia" w:ascii="仿宋_GB2312" w:hAnsi="仿宋" w:eastAsia="仿宋_GB2312"/>
          <w:kern w:val="0"/>
          <w:sz w:val="24"/>
          <w:szCs w:val="28"/>
        </w:rPr>
      </w:pPr>
      <w:r>
        <w:rPr>
          <w:rFonts w:hint="eastAsia" w:ascii="仿宋_GB2312" w:hAnsi="仿宋" w:eastAsia="仿宋_GB2312"/>
          <w:kern w:val="0"/>
          <w:sz w:val="24"/>
          <w:szCs w:val="28"/>
        </w:rPr>
        <w:t>注：1.所有业绩材料均为研究生阶段获得；2.所提交业绩材料中，研究生本人所属单位必须为大连医科大学或大连医科大学附属第一医院；3.过去已获得</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奖学金时提交的业绩材料不能用于本次</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奖学金评审；</w:t>
      </w:r>
      <w:r>
        <w:rPr>
          <w:rFonts w:hint="eastAsia" w:ascii="仿宋_GB2312" w:hAnsi="仿宋" w:eastAsia="仿宋_GB2312"/>
          <w:kern w:val="0"/>
          <w:sz w:val="24"/>
          <w:szCs w:val="28"/>
          <w:lang w:val="en-US" w:eastAsia="zh-CN"/>
        </w:rPr>
        <w:t>4</w:t>
      </w:r>
      <w:r>
        <w:rPr>
          <w:rFonts w:hint="eastAsia" w:ascii="仿宋_GB2312" w:hAnsi="仿宋" w:eastAsia="仿宋_GB2312"/>
          <w:kern w:val="0"/>
          <w:sz w:val="24"/>
          <w:szCs w:val="28"/>
        </w:rPr>
        <w:t>.考核年度有考试不及格、违纪、学术不端、欠费者取消评选资格。</w:t>
      </w:r>
    </w:p>
    <w:p>
      <w:pPr>
        <w:adjustRightInd w:val="0"/>
        <w:snapToGrid w:val="0"/>
        <w:spacing w:line="300" w:lineRule="exact"/>
        <w:rPr>
          <w:rFonts w:ascii="仿宋_GB2312" w:hAnsi="仿宋" w:eastAsia="仿宋_GB2312"/>
          <w:sz w:val="24"/>
          <w:szCs w:val="24"/>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 w:name="Wingdings 2">
    <w:panose1 w:val="05020102010507070707"/>
    <w:charset w:val="00"/>
    <w:family w:val="auto"/>
    <w:pitch w:val="default"/>
    <w:sig w:usb0="00000000" w:usb1="00000000" w:usb2="00000000" w:usb3="00000000" w:csb0="80000000" w:csb1="00000000"/>
  </w:font>
  <w:font w:name="Arial Rounded MT Bold">
    <w:panose1 w:val="020F07040305040302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DNjZjM4OGUwZWE4M2EyNWRmOGMzZGI5ZGJiYzA2MmIifQ=="/>
  </w:docVars>
  <w:rsids>
    <w:rsidRoot w:val="00AD5D27"/>
    <w:rsid w:val="00015B28"/>
    <w:rsid w:val="00023F06"/>
    <w:rsid w:val="00071A4C"/>
    <w:rsid w:val="00071F75"/>
    <w:rsid w:val="0007346D"/>
    <w:rsid w:val="00093925"/>
    <w:rsid w:val="000A2035"/>
    <w:rsid w:val="000A3A35"/>
    <w:rsid w:val="000B534E"/>
    <w:rsid w:val="000C1B23"/>
    <w:rsid w:val="000E6FD1"/>
    <w:rsid w:val="000F3218"/>
    <w:rsid w:val="00151682"/>
    <w:rsid w:val="0015494B"/>
    <w:rsid w:val="00162739"/>
    <w:rsid w:val="001A3284"/>
    <w:rsid w:val="001D12FA"/>
    <w:rsid w:val="00200057"/>
    <w:rsid w:val="00213F75"/>
    <w:rsid w:val="002203D6"/>
    <w:rsid w:val="00221079"/>
    <w:rsid w:val="0022107C"/>
    <w:rsid w:val="00246EC4"/>
    <w:rsid w:val="00265D79"/>
    <w:rsid w:val="0028316D"/>
    <w:rsid w:val="0029719E"/>
    <w:rsid w:val="002A1BFE"/>
    <w:rsid w:val="002D532A"/>
    <w:rsid w:val="002E45BD"/>
    <w:rsid w:val="00323AB4"/>
    <w:rsid w:val="00330737"/>
    <w:rsid w:val="00334C0B"/>
    <w:rsid w:val="0033546D"/>
    <w:rsid w:val="003369B1"/>
    <w:rsid w:val="00336A3A"/>
    <w:rsid w:val="0035099B"/>
    <w:rsid w:val="003776C2"/>
    <w:rsid w:val="00396B81"/>
    <w:rsid w:val="003A7E25"/>
    <w:rsid w:val="004021F1"/>
    <w:rsid w:val="0040501D"/>
    <w:rsid w:val="004327F6"/>
    <w:rsid w:val="004869DC"/>
    <w:rsid w:val="004B101B"/>
    <w:rsid w:val="004B21DF"/>
    <w:rsid w:val="004B399D"/>
    <w:rsid w:val="004D0919"/>
    <w:rsid w:val="00545DAC"/>
    <w:rsid w:val="00550FD0"/>
    <w:rsid w:val="00554113"/>
    <w:rsid w:val="00555B17"/>
    <w:rsid w:val="00563CAA"/>
    <w:rsid w:val="00576816"/>
    <w:rsid w:val="005864FB"/>
    <w:rsid w:val="005C17D7"/>
    <w:rsid w:val="005D1257"/>
    <w:rsid w:val="005D14D6"/>
    <w:rsid w:val="005F0F92"/>
    <w:rsid w:val="005F4937"/>
    <w:rsid w:val="00616DCE"/>
    <w:rsid w:val="0062047B"/>
    <w:rsid w:val="00652F16"/>
    <w:rsid w:val="00657840"/>
    <w:rsid w:val="00666856"/>
    <w:rsid w:val="00693EE8"/>
    <w:rsid w:val="006A26EE"/>
    <w:rsid w:val="007108F6"/>
    <w:rsid w:val="00725148"/>
    <w:rsid w:val="00776320"/>
    <w:rsid w:val="00786C31"/>
    <w:rsid w:val="007A1E7C"/>
    <w:rsid w:val="007D798F"/>
    <w:rsid w:val="00821DFC"/>
    <w:rsid w:val="00854AFB"/>
    <w:rsid w:val="00885685"/>
    <w:rsid w:val="00892E27"/>
    <w:rsid w:val="008B65D8"/>
    <w:rsid w:val="00903F6A"/>
    <w:rsid w:val="00913863"/>
    <w:rsid w:val="0091736F"/>
    <w:rsid w:val="00920643"/>
    <w:rsid w:val="00945207"/>
    <w:rsid w:val="00967117"/>
    <w:rsid w:val="00987C05"/>
    <w:rsid w:val="009E705F"/>
    <w:rsid w:val="00A31DFF"/>
    <w:rsid w:val="00A84160"/>
    <w:rsid w:val="00A875F2"/>
    <w:rsid w:val="00AA362E"/>
    <w:rsid w:val="00AC560D"/>
    <w:rsid w:val="00AD5D27"/>
    <w:rsid w:val="00AE1849"/>
    <w:rsid w:val="00B10E38"/>
    <w:rsid w:val="00B424CC"/>
    <w:rsid w:val="00B44D6E"/>
    <w:rsid w:val="00B50D4F"/>
    <w:rsid w:val="00B71E11"/>
    <w:rsid w:val="00B84AD4"/>
    <w:rsid w:val="00B85435"/>
    <w:rsid w:val="00B90726"/>
    <w:rsid w:val="00BB6AC9"/>
    <w:rsid w:val="00BC238E"/>
    <w:rsid w:val="00BC43CB"/>
    <w:rsid w:val="00BE215D"/>
    <w:rsid w:val="00BF793E"/>
    <w:rsid w:val="00C114ED"/>
    <w:rsid w:val="00C16107"/>
    <w:rsid w:val="00C34E53"/>
    <w:rsid w:val="00CC13B2"/>
    <w:rsid w:val="00CD034F"/>
    <w:rsid w:val="00CD7014"/>
    <w:rsid w:val="00D1394B"/>
    <w:rsid w:val="00D269C4"/>
    <w:rsid w:val="00D55B85"/>
    <w:rsid w:val="00D602F5"/>
    <w:rsid w:val="00D6054B"/>
    <w:rsid w:val="00D93F9A"/>
    <w:rsid w:val="00DC24D4"/>
    <w:rsid w:val="00DD1725"/>
    <w:rsid w:val="00DE2BED"/>
    <w:rsid w:val="00E328E0"/>
    <w:rsid w:val="00E7209C"/>
    <w:rsid w:val="00EA7FBA"/>
    <w:rsid w:val="00EB119B"/>
    <w:rsid w:val="00EC4688"/>
    <w:rsid w:val="00EE277A"/>
    <w:rsid w:val="00EF49D7"/>
    <w:rsid w:val="00F41D52"/>
    <w:rsid w:val="00F42445"/>
    <w:rsid w:val="00F54642"/>
    <w:rsid w:val="00F54AFF"/>
    <w:rsid w:val="00F56E39"/>
    <w:rsid w:val="00F64B47"/>
    <w:rsid w:val="00F8265D"/>
    <w:rsid w:val="00FA6EEE"/>
    <w:rsid w:val="00FC0367"/>
    <w:rsid w:val="00FD6EC6"/>
    <w:rsid w:val="01270201"/>
    <w:rsid w:val="01F71051"/>
    <w:rsid w:val="020F1856"/>
    <w:rsid w:val="07184CDE"/>
    <w:rsid w:val="128126A8"/>
    <w:rsid w:val="12F46213"/>
    <w:rsid w:val="13D75A06"/>
    <w:rsid w:val="14D966DD"/>
    <w:rsid w:val="17A978E5"/>
    <w:rsid w:val="19C43B31"/>
    <w:rsid w:val="1C05303B"/>
    <w:rsid w:val="1D1563E7"/>
    <w:rsid w:val="1F0B6DDB"/>
    <w:rsid w:val="21A339A3"/>
    <w:rsid w:val="2CD15911"/>
    <w:rsid w:val="2D643604"/>
    <w:rsid w:val="2E1703E5"/>
    <w:rsid w:val="2E821D3A"/>
    <w:rsid w:val="31B148E3"/>
    <w:rsid w:val="328B7A8F"/>
    <w:rsid w:val="359702F7"/>
    <w:rsid w:val="36E64FE4"/>
    <w:rsid w:val="42513650"/>
    <w:rsid w:val="43C04259"/>
    <w:rsid w:val="49D15412"/>
    <w:rsid w:val="4B420990"/>
    <w:rsid w:val="4CD31F2D"/>
    <w:rsid w:val="51E00DB7"/>
    <w:rsid w:val="53705EF2"/>
    <w:rsid w:val="557162BB"/>
    <w:rsid w:val="578E4DF2"/>
    <w:rsid w:val="58635E19"/>
    <w:rsid w:val="5B2B7778"/>
    <w:rsid w:val="5DA046CB"/>
    <w:rsid w:val="60F739E7"/>
    <w:rsid w:val="656A6673"/>
    <w:rsid w:val="663D39AB"/>
    <w:rsid w:val="676968D6"/>
    <w:rsid w:val="6B7A39D8"/>
    <w:rsid w:val="707F5D15"/>
    <w:rsid w:val="719D40B2"/>
    <w:rsid w:val="72D51F15"/>
    <w:rsid w:val="74BC35F4"/>
    <w:rsid w:val="77B95F7C"/>
    <w:rsid w:val="798710DE"/>
    <w:rsid w:val="7AC8706C"/>
    <w:rsid w:val="7D2D0569"/>
    <w:rsid w:val="7E6426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0"/>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0"/>
    <w:rPr>
      <w:b/>
      <w:bCs/>
    </w:rPr>
  </w:style>
  <w:style w:type="character" w:styleId="8">
    <w:name w:val="annotation reference"/>
    <w:semiHidden/>
    <w:unhideWhenUsed/>
    <w:qFormat/>
    <w:uiPriority w:val="0"/>
    <w:rPr>
      <w:sz w:val="21"/>
      <w:szCs w:val="21"/>
    </w:rPr>
  </w:style>
  <w:style w:type="character" w:customStyle="1" w:styleId="9">
    <w:name w:val="页眉 Char"/>
    <w:link w:val="4"/>
    <w:semiHidden/>
    <w:qFormat/>
    <w:uiPriority w:val="99"/>
    <w:rPr>
      <w:rFonts w:ascii="Calibri" w:hAnsi="Calibri" w:eastAsia="宋体" w:cs="Times New Roman"/>
      <w:sz w:val="18"/>
      <w:szCs w:val="18"/>
    </w:rPr>
  </w:style>
  <w:style w:type="character" w:customStyle="1" w:styleId="10">
    <w:name w:val="页脚 Char"/>
    <w:link w:val="3"/>
    <w:semiHidden/>
    <w:qFormat/>
    <w:uiPriority w:val="99"/>
    <w:rPr>
      <w:rFonts w:ascii="Calibri" w:hAnsi="Calibri" w:eastAsia="宋体" w:cs="Times New Roman"/>
      <w:sz w:val="18"/>
      <w:szCs w:val="18"/>
    </w:rPr>
  </w:style>
  <w:style w:type="character" w:customStyle="1" w:styleId="11">
    <w:name w:val="批注文字 Char"/>
    <w:link w:val="2"/>
    <w:semiHidden/>
    <w:qFormat/>
    <w:uiPriority w:val="0"/>
    <w:rPr>
      <w:rFonts w:ascii="Calibri" w:hAnsi="Calibri"/>
      <w:kern w:val="2"/>
      <w:sz w:val="21"/>
      <w:szCs w:val="22"/>
    </w:rPr>
  </w:style>
  <w:style w:type="character" w:customStyle="1" w:styleId="12">
    <w:name w:val="批注主题 Char"/>
    <w:link w:val="5"/>
    <w:semiHidden/>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1375</Words>
  <Characters>1456</Characters>
  <Lines>11</Lines>
  <Paragraphs>3</Paragraphs>
  <TotalTime>6</TotalTime>
  <ScaleCrop>false</ScaleCrop>
  <LinksUpToDate>false</LinksUpToDate>
  <CharactersWithSpaces>1501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2015-06-03T01:00:00Z</dcterms:created>
  <dc:creator>lenovo</dc:creator>
  <cp:lastModifiedBy>月</cp:lastModifiedBy>
  <cp:lastPrinted>2023-04-27T06:50:00Z</cp:lastPrinted>
  <dcterms:modified xsi:type="dcterms:W3CDTF">2023-04-27T12:12:45Z</dcterms:modified>
  <dc:title>第一临床学院博士研究生及学术型硕士研究生（三年级）学业奖学金评审赋分标准</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688BB859494F439AAD6E319B3FD36EF3</vt:lpwstr>
  </property>
</Properties>
</file>