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3FD" w:rsidRPr="00666C03" w:rsidRDefault="00C333FD" w:rsidP="00C333FD">
      <w:pPr>
        <w:adjustRightInd w:val="0"/>
        <w:snapToGrid w:val="0"/>
        <w:spacing w:line="500" w:lineRule="exact"/>
        <w:jc w:val="left"/>
        <w:rPr>
          <w:rFonts w:ascii="仿宋" w:eastAsia="仿宋" w:hAnsi="仿宋"/>
          <w:color w:val="000000"/>
          <w:kern w:val="0"/>
          <w:sz w:val="28"/>
          <w:szCs w:val="28"/>
        </w:rPr>
      </w:pPr>
      <w:r w:rsidRPr="00666C03">
        <w:rPr>
          <w:rFonts w:ascii="仿宋" w:eastAsia="仿宋" w:hAnsi="仿宋"/>
          <w:color w:val="000000"/>
          <w:kern w:val="0"/>
          <w:sz w:val="28"/>
          <w:szCs w:val="28"/>
        </w:rPr>
        <w:t>附</w:t>
      </w:r>
      <w:r w:rsidRPr="00666C03">
        <w:rPr>
          <w:rFonts w:ascii="仿宋" w:eastAsia="仿宋" w:hAnsi="仿宋" w:hint="eastAsia"/>
          <w:color w:val="000000"/>
          <w:kern w:val="0"/>
          <w:sz w:val="28"/>
          <w:szCs w:val="28"/>
        </w:rPr>
        <w:t>：</w:t>
      </w:r>
      <w:r w:rsidRPr="00666C03">
        <w:rPr>
          <w:rFonts w:ascii="仿宋" w:eastAsia="仿宋" w:hAnsi="仿宋"/>
          <w:color w:val="000000"/>
          <w:kern w:val="0"/>
          <w:sz w:val="28"/>
          <w:szCs w:val="28"/>
        </w:rPr>
        <w:t>公示内容</w:t>
      </w:r>
    </w:p>
    <w:p w:rsidR="00C333FD" w:rsidRPr="00C333FD" w:rsidRDefault="00C333FD" w:rsidP="00C333FD">
      <w:pPr>
        <w:adjustRightInd w:val="0"/>
        <w:snapToGrid w:val="0"/>
        <w:spacing w:line="500" w:lineRule="exact"/>
        <w:rPr>
          <w:rFonts w:ascii="仿宋" w:eastAsia="仿宋" w:hAnsi="仿宋"/>
          <w:color w:val="000000"/>
          <w:kern w:val="0"/>
          <w:sz w:val="28"/>
          <w:szCs w:val="28"/>
        </w:rPr>
      </w:pPr>
      <w:r w:rsidRPr="00666C03">
        <w:rPr>
          <w:rFonts w:ascii="仿宋" w:eastAsia="仿宋" w:hAnsi="仿宋"/>
          <w:color w:val="000000"/>
          <w:kern w:val="0"/>
          <w:sz w:val="28"/>
          <w:szCs w:val="28"/>
        </w:rPr>
        <w:t>项目名称：</w:t>
      </w:r>
      <w:r w:rsidRPr="00A325F5">
        <w:rPr>
          <w:rFonts w:ascii="仿宋" w:eastAsia="仿宋" w:hAnsi="仿宋"/>
          <w:color w:val="000000"/>
          <w:kern w:val="0"/>
          <w:sz w:val="28"/>
          <w:szCs w:val="28"/>
        </w:rPr>
        <w:t>蛋白质糖基化修饰在胚胎着床及生殖医学疾病中的作用</w:t>
      </w:r>
      <w:r w:rsidR="00F84DB1" w:rsidRPr="00A325F5">
        <w:rPr>
          <w:rFonts w:ascii="仿宋" w:eastAsia="仿宋" w:hAnsi="仿宋" w:hint="eastAsia"/>
          <w:color w:val="000000"/>
          <w:kern w:val="0"/>
          <w:sz w:val="28"/>
          <w:szCs w:val="28"/>
        </w:rPr>
        <w:t>与应用</w:t>
      </w:r>
    </w:p>
    <w:p w:rsidR="00C333FD" w:rsidRPr="00666C03" w:rsidRDefault="00C333FD" w:rsidP="00C333FD">
      <w:pPr>
        <w:adjustRightInd w:val="0"/>
        <w:snapToGrid w:val="0"/>
        <w:spacing w:line="500" w:lineRule="exact"/>
        <w:rPr>
          <w:rFonts w:ascii="仿宋" w:eastAsia="仿宋" w:hAnsi="仿宋"/>
          <w:color w:val="000000"/>
          <w:kern w:val="0"/>
          <w:sz w:val="28"/>
          <w:szCs w:val="28"/>
        </w:rPr>
      </w:pPr>
      <w:r>
        <w:rPr>
          <w:rFonts w:ascii="仿宋" w:eastAsia="仿宋" w:hAnsi="仿宋" w:hint="eastAsia"/>
          <w:color w:val="000000"/>
          <w:kern w:val="0"/>
          <w:sz w:val="28"/>
          <w:szCs w:val="28"/>
        </w:rPr>
        <w:t>申报奖项类别：（科学技术奖）</w:t>
      </w:r>
    </w:p>
    <w:p w:rsidR="00C333FD" w:rsidRPr="00666C03" w:rsidRDefault="00C333FD" w:rsidP="00C333FD">
      <w:pPr>
        <w:adjustRightInd w:val="0"/>
        <w:snapToGrid w:val="0"/>
        <w:spacing w:line="500" w:lineRule="exact"/>
        <w:rPr>
          <w:rFonts w:ascii="仿宋" w:eastAsia="仿宋" w:hAnsi="仿宋"/>
          <w:color w:val="000000"/>
          <w:kern w:val="0"/>
          <w:sz w:val="28"/>
          <w:szCs w:val="28"/>
        </w:rPr>
      </w:pPr>
      <w:r>
        <w:rPr>
          <w:rFonts w:ascii="仿宋" w:eastAsia="仿宋" w:hAnsi="仿宋" w:hint="eastAsia"/>
          <w:color w:val="000000"/>
          <w:kern w:val="0"/>
          <w:sz w:val="28"/>
          <w:szCs w:val="28"/>
        </w:rPr>
        <w:t>主要</w:t>
      </w:r>
      <w:r>
        <w:rPr>
          <w:rFonts w:ascii="仿宋" w:eastAsia="仿宋" w:hAnsi="仿宋"/>
          <w:color w:val="000000"/>
          <w:kern w:val="0"/>
          <w:sz w:val="28"/>
          <w:szCs w:val="28"/>
        </w:rPr>
        <w:t>完成</w:t>
      </w:r>
      <w:r w:rsidRPr="00666C03">
        <w:rPr>
          <w:rFonts w:ascii="仿宋" w:eastAsia="仿宋" w:hAnsi="仿宋"/>
          <w:color w:val="000000"/>
          <w:kern w:val="0"/>
          <w:sz w:val="28"/>
          <w:szCs w:val="28"/>
        </w:rPr>
        <w:t>单位：</w:t>
      </w:r>
      <w:r>
        <w:rPr>
          <w:rFonts w:ascii="仿宋" w:eastAsia="仿宋" w:hAnsi="仿宋" w:hint="eastAsia"/>
          <w:color w:val="000000"/>
          <w:kern w:val="0"/>
          <w:sz w:val="28"/>
          <w:szCs w:val="28"/>
        </w:rPr>
        <w:t>大连医科大学、大连医科大学附属第一医院</w:t>
      </w:r>
    </w:p>
    <w:p w:rsidR="00C333FD" w:rsidRPr="00666C03" w:rsidRDefault="00C333FD" w:rsidP="00C333FD">
      <w:pPr>
        <w:adjustRightInd w:val="0"/>
        <w:snapToGrid w:val="0"/>
        <w:spacing w:line="500" w:lineRule="exact"/>
        <w:rPr>
          <w:rFonts w:ascii="仿宋" w:eastAsia="仿宋" w:hAnsi="仿宋"/>
          <w:color w:val="000000"/>
          <w:kern w:val="0"/>
          <w:sz w:val="28"/>
          <w:szCs w:val="28"/>
        </w:rPr>
      </w:pPr>
      <w:r>
        <w:rPr>
          <w:rFonts w:ascii="仿宋" w:eastAsia="仿宋" w:hAnsi="仿宋" w:hint="eastAsia"/>
          <w:color w:val="000000"/>
          <w:kern w:val="0"/>
          <w:sz w:val="28"/>
          <w:szCs w:val="28"/>
        </w:rPr>
        <w:t>主要</w:t>
      </w:r>
      <w:r>
        <w:rPr>
          <w:rFonts w:ascii="仿宋" w:eastAsia="仿宋" w:hAnsi="仿宋"/>
          <w:color w:val="000000"/>
          <w:kern w:val="0"/>
          <w:sz w:val="28"/>
          <w:szCs w:val="28"/>
        </w:rPr>
        <w:t>完成</w:t>
      </w:r>
      <w:r w:rsidRPr="00666C03">
        <w:rPr>
          <w:rFonts w:ascii="仿宋" w:eastAsia="仿宋" w:hAnsi="仿宋"/>
          <w:color w:val="000000"/>
          <w:kern w:val="0"/>
          <w:sz w:val="28"/>
          <w:szCs w:val="28"/>
        </w:rPr>
        <w:t>人：</w:t>
      </w:r>
      <w:r>
        <w:rPr>
          <w:rFonts w:ascii="仿宋" w:eastAsia="仿宋" w:hAnsi="仿宋" w:hint="eastAsia"/>
          <w:color w:val="000000"/>
          <w:kern w:val="0"/>
          <w:sz w:val="28"/>
          <w:szCs w:val="28"/>
        </w:rPr>
        <w:t>孔英、隋琳琳、张宏硕、谢云鹏、樊建慧、严滨、商宇红、孔力、董明、徐跃飞</w:t>
      </w:r>
    </w:p>
    <w:p w:rsidR="00C333FD" w:rsidRDefault="00C333FD" w:rsidP="00C333FD">
      <w:pPr>
        <w:adjustRightInd w:val="0"/>
        <w:snapToGrid w:val="0"/>
        <w:spacing w:line="500" w:lineRule="exact"/>
        <w:rPr>
          <w:rFonts w:ascii="仿宋" w:eastAsia="仿宋" w:hAnsi="仿宋"/>
          <w:color w:val="000000"/>
          <w:kern w:val="0"/>
          <w:sz w:val="28"/>
          <w:szCs w:val="28"/>
        </w:rPr>
      </w:pPr>
      <w:r w:rsidRPr="00666C03">
        <w:rPr>
          <w:rFonts w:ascii="仿宋" w:eastAsia="仿宋" w:hAnsi="仿宋"/>
          <w:color w:val="000000"/>
          <w:kern w:val="0"/>
          <w:sz w:val="28"/>
          <w:szCs w:val="28"/>
        </w:rPr>
        <w:t>项目简介：</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生命早期（胚胎）发育、着床调控影响妊娠结局，是生殖健康领域聚焦问题。</w:t>
      </w:r>
      <w:r w:rsidRPr="003E703A">
        <w:rPr>
          <w:rFonts w:ascii="仿宋" w:eastAsia="仿宋" w:hAnsi="仿宋" w:hint="eastAsia"/>
          <w:color w:val="000000"/>
          <w:kern w:val="0"/>
          <w:szCs w:val="21"/>
        </w:rPr>
        <w:t>本成果</w:t>
      </w:r>
      <w:r w:rsidRPr="003E703A">
        <w:rPr>
          <w:rFonts w:ascii="仿宋" w:eastAsia="仿宋" w:hAnsi="仿宋"/>
          <w:color w:val="000000"/>
          <w:kern w:val="0"/>
          <w:szCs w:val="21"/>
        </w:rPr>
        <w:t>在连续10项国家自然基金支持下，寻找调控“胚胎发育、着床”特异性糖基化修饰蛋白，作为辅助生殖（IVF-ET）移植胚胎质量评价办法，以减少多胎移植妊娠风险</w:t>
      </w:r>
      <w:r w:rsidRPr="003E703A">
        <w:rPr>
          <w:rFonts w:ascii="仿宋" w:eastAsia="仿宋" w:hAnsi="仿宋" w:hint="eastAsia"/>
          <w:color w:val="000000"/>
          <w:kern w:val="0"/>
          <w:szCs w:val="21"/>
        </w:rPr>
        <w:t>；</w:t>
      </w:r>
      <w:r w:rsidRPr="003E703A">
        <w:rPr>
          <w:rFonts w:ascii="仿宋" w:eastAsia="仿宋" w:hAnsi="仿宋"/>
          <w:color w:val="000000"/>
          <w:kern w:val="0"/>
          <w:szCs w:val="21"/>
        </w:rPr>
        <w:t>糖基化修饰蛋白</w:t>
      </w:r>
      <w:r w:rsidRPr="003E703A">
        <w:rPr>
          <w:rFonts w:ascii="仿宋" w:eastAsia="仿宋" w:hAnsi="仿宋" w:hint="eastAsia"/>
          <w:color w:val="000000"/>
          <w:kern w:val="0"/>
          <w:szCs w:val="21"/>
        </w:rPr>
        <w:t>异常表达与胎盘源性</w:t>
      </w:r>
      <w:r w:rsidRPr="003E703A">
        <w:rPr>
          <w:rFonts w:ascii="仿宋" w:eastAsia="仿宋" w:hAnsi="仿宋"/>
          <w:color w:val="000000"/>
          <w:kern w:val="0"/>
          <w:szCs w:val="21"/>
        </w:rPr>
        <w:t>妊娠疾病</w:t>
      </w:r>
      <w:r w:rsidRPr="003E703A">
        <w:rPr>
          <w:rFonts w:ascii="仿宋" w:eastAsia="仿宋" w:hAnsi="仿宋" w:hint="eastAsia"/>
          <w:color w:val="000000"/>
          <w:kern w:val="0"/>
          <w:szCs w:val="21"/>
        </w:rPr>
        <w:t>相关</w:t>
      </w:r>
      <w:r w:rsidRPr="003E703A">
        <w:rPr>
          <w:rFonts w:ascii="仿宋" w:eastAsia="仿宋" w:hAnsi="仿宋"/>
          <w:color w:val="000000"/>
          <w:kern w:val="0"/>
          <w:szCs w:val="21"/>
        </w:rPr>
        <w:t>，</w:t>
      </w:r>
      <w:r w:rsidRPr="003E703A">
        <w:rPr>
          <w:rFonts w:ascii="仿宋" w:eastAsia="仿宋" w:hAnsi="仿宋" w:hint="eastAsia"/>
          <w:color w:val="000000"/>
          <w:kern w:val="0"/>
          <w:szCs w:val="21"/>
        </w:rPr>
        <w:t>这为</w:t>
      </w:r>
      <w:r w:rsidRPr="003E703A">
        <w:rPr>
          <w:rFonts w:ascii="仿宋" w:eastAsia="仿宋" w:hAnsi="仿宋"/>
          <w:color w:val="000000"/>
          <w:kern w:val="0"/>
          <w:szCs w:val="21"/>
        </w:rPr>
        <w:t>生殖健康疾病预警、早期筛查</w:t>
      </w:r>
      <w:r w:rsidRPr="003E703A">
        <w:rPr>
          <w:rFonts w:ascii="仿宋" w:eastAsia="仿宋" w:hAnsi="仿宋" w:hint="eastAsia"/>
          <w:color w:val="000000"/>
          <w:kern w:val="0"/>
          <w:szCs w:val="21"/>
        </w:rPr>
        <w:t>提供依据</w:t>
      </w:r>
      <w:r w:rsidRPr="003E703A">
        <w:rPr>
          <w:rFonts w:ascii="仿宋" w:eastAsia="仿宋" w:hAnsi="仿宋"/>
          <w:color w:val="000000"/>
          <w:kern w:val="0"/>
          <w:szCs w:val="21"/>
        </w:rPr>
        <w:t>。</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1.首次证实“侵入能力胚泡”及“接受状态子宫内膜”表面糖基化蛋白持续高表达：蛋白</w:t>
      </w:r>
      <w:r w:rsidRPr="003E703A">
        <w:rPr>
          <w:rFonts w:ascii="仿宋" w:eastAsia="仿宋" w:hAnsi="仿宋" w:hint="eastAsia"/>
          <w:color w:val="000000"/>
          <w:kern w:val="0"/>
          <w:szCs w:val="21"/>
        </w:rPr>
        <w:t>质</w:t>
      </w:r>
      <w:r w:rsidRPr="003E703A">
        <w:rPr>
          <w:rFonts w:ascii="仿宋" w:eastAsia="仿宋" w:hAnsi="仿宋"/>
          <w:color w:val="000000"/>
          <w:kern w:val="0"/>
          <w:szCs w:val="21"/>
        </w:rPr>
        <w:t>糖基化修饰可赋予其介导细胞识别、黏附功能。</w:t>
      </w:r>
      <w:r w:rsidRPr="003E703A">
        <w:rPr>
          <w:rFonts w:ascii="仿宋" w:eastAsia="仿宋" w:hAnsi="仿宋" w:hint="eastAsia"/>
          <w:color w:val="000000"/>
          <w:kern w:val="0"/>
          <w:szCs w:val="21"/>
        </w:rPr>
        <w:t>研究</w:t>
      </w:r>
      <w:r w:rsidRPr="003E703A">
        <w:rPr>
          <w:rFonts w:ascii="仿宋" w:eastAsia="仿宋" w:hAnsi="仿宋"/>
          <w:color w:val="000000"/>
          <w:kern w:val="0"/>
          <w:szCs w:val="21"/>
        </w:rPr>
        <w:t>证实“着床窗口期”胚胎与子宫内膜</w:t>
      </w:r>
      <w:r w:rsidRPr="003E703A">
        <w:rPr>
          <w:rFonts w:ascii="仿宋" w:eastAsia="仿宋" w:hAnsi="仿宋" w:hint="eastAsia"/>
          <w:color w:val="000000"/>
          <w:kern w:val="0"/>
          <w:szCs w:val="21"/>
        </w:rPr>
        <w:t>特异性</w:t>
      </w:r>
      <w:r w:rsidRPr="003E703A">
        <w:rPr>
          <w:rFonts w:ascii="仿宋" w:eastAsia="仿宋" w:hAnsi="仿宋"/>
          <w:color w:val="000000"/>
          <w:kern w:val="0"/>
          <w:szCs w:val="21"/>
        </w:rPr>
        <w:t>糖蛋白持续高表达（如岩藻糖化蛋白LeY glycan、N-糖基化蛋白OPN、O-GlcNAc糖基化蛋白FOXM1）；糖蛋白作为信息分子调控胚胎着床，封闭胚胎表面糖蛋白可阻断母、胎识别、降低着床率，并影响着床因子MMPs、EGF、LIF表达。</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2.首次阐明调控子宫内膜特异性糖基转移酶表达影响糖蛋白合成，并进一步影响胚胎在子宫内膜上的黏附力。构建糖基转移酶（FUT、β1,4-GalTⅠ、OGT）调控质粒转染子宫内膜细胞，糖基化蛋白LeY glycan、OPN、</w:t>
      </w:r>
      <w:r w:rsidR="00B4425D">
        <w:rPr>
          <w:rFonts w:ascii="仿宋" w:eastAsia="仿宋" w:hAnsi="仿宋" w:hint="eastAsia"/>
          <w:color w:val="000000"/>
          <w:kern w:val="0"/>
          <w:szCs w:val="21"/>
        </w:rPr>
        <w:t>SP</w:t>
      </w:r>
      <w:r w:rsidRPr="003E703A">
        <w:rPr>
          <w:rFonts w:ascii="仿宋" w:eastAsia="仿宋" w:hAnsi="仿宋"/>
          <w:color w:val="000000"/>
          <w:kern w:val="0"/>
          <w:szCs w:val="21"/>
        </w:rPr>
        <w:t>1的合成量发生同步变化，并影响胚胎在子宫内膜黏附力。</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3.首次建立免疫印记结合化学发光技术，检测单个胚胎微量培养液蛋白分泌量，发现镜下发育时期、状态相同的单个胚胎，LeY glycan、MMPs等的分泌水平并不同；且高糖蛋白LeY glycan分泌的胚泡具有较强发育速度及着床潜能；提示糖蛋白作为评价胚胎质量的潜在意义。</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4.临床IVF-ET体外培养胚胎，糖蛋白分泌水平有不同，移植胚胎的LeY glycan分泌水平较高；LeY glycan分泌水平可辅助判断胚胎发育及其着床潜能，为IVF移植胚胎早期质量鉴定提供了除形态学之外的不损伤受检胚胎的方法。这一研究应用于大连市妇女儿童医疗中心等国家生殖医学中心，辅助指导IVF-ET移植胚胎选择。研究支持糖蛋白LeY表达辅助优质胚胎选择检测试剂盒研发，与苏州三联生物试剂公司达成研发共识。</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5.“侵入能力胚泡”部分绒毛外滋养层细胞获得血管内皮细胞样特征，促进胎盘形成及子宫螺旋动脉的重塑。滋养层细胞在子宫内膜浸润过浅</w:t>
      </w:r>
      <w:r w:rsidRPr="003E703A">
        <w:rPr>
          <w:rFonts w:ascii="仿宋" w:eastAsia="仿宋" w:hAnsi="仿宋" w:hint="eastAsia"/>
          <w:color w:val="000000"/>
          <w:kern w:val="0"/>
          <w:szCs w:val="21"/>
        </w:rPr>
        <w:t>可</w:t>
      </w:r>
      <w:r w:rsidRPr="003E703A">
        <w:rPr>
          <w:rFonts w:ascii="仿宋" w:eastAsia="仿宋" w:hAnsi="仿宋"/>
          <w:color w:val="000000"/>
          <w:kern w:val="0"/>
          <w:szCs w:val="21"/>
        </w:rPr>
        <w:t>导致子痫前期和胎儿宫内生长受限。本研究</w:t>
      </w:r>
      <w:r w:rsidRPr="003E703A">
        <w:rPr>
          <w:rFonts w:ascii="仿宋" w:eastAsia="仿宋" w:hAnsi="仿宋" w:hint="eastAsia"/>
          <w:color w:val="000000"/>
          <w:kern w:val="0"/>
          <w:szCs w:val="21"/>
        </w:rPr>
        <w:t>发现</w:t>
      </w:r>
      <w:r w:rsidRPr="003E703A">
        <w:rPr>
          <w:rFonts w:ascii="仿宋" w:eastAsia="仿宋" w:hAnsi="仿宋"/>
          <w:color w:val="000000"/>
          <w:kern w:val="0"/>
          <w:szCs w:val="21"/>
        </w:rPr>
        <w:t>糖蛋白</w:t>
      </w:r>
      <w:r w:rsidRPr="003E703A">
        <w:rPr>
          <w:rFonts w:ascii="仿宋" w:eastAsia="仿宋" w:hAnsi="仿宋" w:hint="eastAsia"/>
          <w:color w:val="000000"/>
          <w:kern w:val="0"/>
          <w:szCs w:val="21"/>
        </w:rPr>
        <w:t>异常与</w:t>
      </w:r>
      <w:r w:rsidRPr="003E703A">
        <w:rPr>
          <w:rFonts w:ascii="仿宋" w:eastAsia="仿宋" w:hAnsi="仿宋"/>
          <w:color w:val="000000"/>
          <w:kern w:val="0"/>
          <w:szCs w:val="21"/>
        </w:rPr>
        <w:t>子痫前期</w:t>
      </w:r>
      <w:r w:rsidRPr="003E703A">
        <w:rPr>
          <w:rFonts w:ascii="仿宋" w:eastAsia="仿宋" w:hAnsi="仿宋" w:hint="eastAsia"/>
          <w:color w:val="000000"/>
          <w:kern w:val="0"/>
          <w:szCs w:val="21"/>
        </w:rPr>
        <w:t>、</w:t>
      </w:r>
      <w:r w:rsidRPr="003E703A">
        <w:rPr>
          <w:rFonts w:ascii="仿宋" w:eastAsia="仿宋" w:hAnsi="仿宋"/>
          <w:color w:val="000000"/>
          <w:kern w:val="0"/>
          <w:szCs w:val="21"/>
        </w:rPr>
        <w:t>葡萄胎</w:t>
      </w:r>
      <w:r w:rsidRPr="003E703A">
        <w:rPr>
          <w:rFonts w:ascii="仿宋" w:eastAsia="仿宋" w:hAnsi="仿宋" w:hint="eastAsia"/>
          <w:color w:val="000000"/>
          <w:kern w:val="0"/>
          <w:szCs w:val="21"/>
        </w:rPr>
        <w:t>以及</w:t>
      </w:r>
      <w:r w:rsidRPr="003E703A">
        <w:rPr>
          <w:rFonts w:ascii="仿宋" w:eastAsia="仿宋" w:hAnsi="仿宋"/>
          <w:color w:val="000000"/>
          <w:kern w:val="0"/>
          <w:szCs w:val="21"/>
        </w:rPr>
        <w:t>子宫内膜癌发生发展密切相关。</w:t>
      </w:r>
    </w:p>
    <w:p w:rsidR="003E703A" w:rsidRPr="003E703A" w:rsidRDefault="003E703A" w:rsidP="003E703A">
      <w:pPr>
        <w:spacing w:line="276" w:lineRule="auto"/>
        <w:ind w:firstLine="420"/>
        <w:rPr>
          <w:rFonts w:ascii="仿宋" w:eastAsia="仿宋" w:hAnsi="仿宋"/>
          <w:color w:val="000000"/>
          <w:kern w:val="0"/>
          <w:szCs w:val="21"/>
        </w:rPr>
      </w:pPr>
      <w:r w:rsidRPr="003E703A">
        <w:rPr>
          <w:rFonts w:ascii="仿宋" w:eastAsia="仿宋" w:hAnsi="仿宋"/>
          <w:color w:val="000000"/>
          <w:kern w:val="0"/>
          <w:szCs w:val="21"/>
        </w:rPr>
        <w:t>本研究获2020年</w:t>
      </w:r>
      <w:r w:rsidRPr="003E703A">
        <w:rPr>
          <w:rFonts w:ascii="仿宋" w:eastAsia="仿宋" w:hAnsi="仿宋" w:hint="eastAsia"/>
          <w:color w:val="000000"/>
          <w:kern w:val="0"/>
          <w:szCs w:val="21"/>
        </w:rPr>
        <w:t>辽宁省</w:t>
      </w:r>
      <w:r w:rsidRPr="003E703A">
        <w:rPr>
          <w:rFonts w:ascii="仿宋" w:eastAsia="仿宋" w:hAnsi="仿宋"/>
          <w:color w:val="000000"/>
          <w:kern w:val="0"/>
          <w:szCs w:val="21"/>
        </w:rPr>
        <w:t>科技进步</w:t>
      </w:r>
      <w:r w:rsidRPr="003E703A">
        <w:rPr>
          <w:rFonts w:ascii="仿宋" w:eastAsia="仿宋" w:hAnsi="仿宋" w:hint="eastAsia"/>
          <w:color w:val="000000"/>
          <w:kern w:val="0"/>
          <w:szCs w:val="21"/>
        </w:rPr>
        <w:t>二</w:t>
      </w:r>
      <w:r w:rsidRPr="003E703A">
        <w:rPr>
          <w:rFonts w:ascii="仿宋" w:eastAsia="仿宋" w:hAnsi="仿宋"/>
          <w:color w:val="000000"/>
          <w:kern w:val="0"/>
          <w:szCs w:val="21"/>
        </w:rPr>
        <w:t>等奖，培养研究生50余人，发表SCI论文50篇，单篇最高IF12</w:t>
      </w:r>
      <w:r w:rsidRPr="003E703A">
        <w:rPr>
          <w:rFonts w:ascii="仿宋" w:eastAsia="仿宋" w:hAnsi="仿宋" w:hint="eastAsia"/>
          <w:color w:val="000000"/>
          <w:kern w:val="0"/>
          <w:szCs w:val="21"/>
        </w:rPr>
        <w:t>.</w:t>
      </w:r>
      <w:r w:rsidRPr="003E703A">
        <w:rPr>
          <w:rFonts w:ascii="仿宋" w:eastAsia="仿宋" w:hAnsi="仿宋"/>
          <w:color w:val="000000"/>
          <w:kern w:val="0"/>
          <w:szCs w:val="21"/>
        </w:rPr>
        <w:t>07。参加交流10</w:t>
      </w:r>
      <w:r w:rsidRPr="003E703A">
        <w:rPr>
          <w:rFonts w:ascii="仿宋" w:eastAsia="仿宋" w:hAnsi="仿宋" w:hint="eastAsia"/>
          <w:color w:val="000000"/>
          <w:kern w:val="0"/>
          <w:szCs w:val="21"/>
        </w:rPr>
        <w:t>余</w:t>
      </w:r>
      <w:r w:rsidRPr="003E703A">
        <w:rPr>
          <w:rFonts w:ascii="仿宋" w:eastAsia="仿宋" w:hAnsi="仿宋"/>
          <w:color w:val="000000"/>
          <w:kern w:val="0"/>
          <w:szCs w:val="21"/>
        </w:rPr>
        <w:t>次。获批专利2项；成果整体纳入国家自然基金成果专</w:t>
      </w:r>
      <w:r w:rsidRPr="003E703A">
        <w:rPr>
          <w:rFonts w:ascii="仿宋" w:eastAsia="仿宋" w:hAnsi="仿宋"/>
          <w:color w:val="000000"/>
          <w:kern w:val="0"/>
          <w:szCs w:val="21"/>
        </w:rPr>
        <w:lastRenderedPageBreak/>
        <w:t>著《糖链与生殖》由科学出版社出版。2019年获批国家自然科学基金支持，潜力显著。</w:t>
      </w:r>
    </w:p>
    <w:p w:rsidR="003E703A" w:rsidRPr="003E703A" w:rsidRDefault="003E703A" w:rsidP="003E703A">
      <w:pPr>
        <w:adjustRightInd w:val="0"/>
        <w:snapToGrid w:val="0"/>
        <w:spacing w:line="276" w:lineRule="auto"/>
        <w:rPr>
          <w:rFonts w:ascii="仿宋" w:eastAsia="仿宋" w:hAnsi="仿宋"/>
          <w:color w:val="000000"/>
          <w:kern w:val="0"/>
          <w:szCs w:val="21"/>
        </w:rPr>
      </w:pPr>
      <w:r w:rsidRPr="003E703A">
        <w:rPr>
          <w:rFonts w:ascii="仿宋" w:eastAsia="仿宋" w:hAnsi="仿宋"/>
          <w:color w:val="000000"/>
          <w:kern w:val="0"/>
          <w:szCs w:val="21"/>
        </w:rPr>
        <w:t>负责人依多年科研积累获评辽宁省特聘教授、辽宁省教学名师、辽宁省高校优秀人才支持计划。所在团队获评辽宁省糖生物学与糖生物工程重点实验室、辽宁省高等学校创新团队，</w:t>
      </w:r>
      <w:r w:rsidRPr="003E703A">
        <w:rPr>
          <w:rFonts w:ascii="仿宋" w:eastAsia="仿宋" w:hAnsi="仿宋" w:hint="eastAsia"/>
          <w:color w:val="000000"/>
          <w:kern w:val="0"/>
          <w:szCs w:val="21"/>
        </w:rPr>
        <w:t>大连市生殖发育重点实验室。研究对推动</w:t>
      </w:r>
      <w:r w:rsidRPr="003E703A">
        <w:rPr>
          <w:rFonts w:ascii="仿宋" w:eastAsia="仿宋" w:hAnsi="仿宋"/>
          <w:color w:val="000000"/>
          <w:kern w:val="0"/>
          <w:szCs w:val="21"/>
        </w:rPr>
        <w:t>我国糖</w:t>
      </w:r>
      <w:r w:rsidRPr="003E703A">
        <w:rPr>
          <w:rFonts w:ascii="仿宋" w:eastAsia="仿宋" w:hAnsi="仿宋" w:hint="eastAsia"/>
          <w:color w:val="000000"/>
          <w:kern w:val="0"/>
          <w:szCs w:val="21"/>
        </w:rPr>
        <w:t>生殖</w:t>
      </w:r>
      <w:r w:rsidRPr="003E703A">
        <w:rPr>
          <w:rFonts w:ascii="仿宋" w:eastAsia="仿宋" w:hAnsi="仿宋"/>
          <w:color w:val="000000"/>
          <w:kern w:val="0"/>
          <w:szCs w:val="21"/>
        </w:rPr>
        <w:t>领域研究有较大贡献。</w:t>
      </w:r>
    </w:p>
    <w:p w:rsidR="00B4425D" w:rsidRDefault="00C333FD" w:rsidP="00C333FD">
      <w:pPr>
        <w:adjustRightInd w:val="0"/>
        <w:snapToGrid w:val="0"/>
        <w:spacing w:line="500" w:lineRule="exact"/>
        <w:rPr>
          <w:rFonts w:ascii="仿宋" w:eastAsia="仿宋" w:hAnsi="仿宋"/>
          <w:color w:val="000000"/>
          <w:kern w:val="0"/>
          <w:sz w:val="28"/>
          <w:szCs w:val="28"/>
        </w:rPr>
      </w:pPr>
      <w:r w:rsidRPr="006A7529">
        <w:rPr>
          <w:rFonts w:ascii="仿宋" w:eastAsia="仿宋" w:hAnsi="仿宋" w:hint="eastAsia"/>
          <w:color w:val="000000"/>
          <w:kern w:val="0"/>
          <w:sz w:val="28"/>
          <w:szCs w:val="28"/>
        </w:rPr>
        <w:t>代表性论文（专著）</w:t>
      </w:r>
      <w:r>
        <w:rPr>
          <w:rFonts w:ascii="仿宋" w:eastAsia="仿宋" w:hAnsi="仿宋" w:hint="eastAsia"/>
          <w:color w:val="000000"/>
          <w:kern w:val="0"/>
          <w:sz w:val="28"/>
          <w:szCs w:val="28"/>
        </w:rPr>
        <w:t>列表：</w:t>
      </w:r>
    </w:p>
    <w:p w:rsidR="00F84DB1" w:rsidRPr="00F84DB1" w:rsidRDefault="00B4425D" w:rsidP="009A204E">
      <w:pPr>
        <w:pStyle w:val="a7"/>
        <w:numPr>
          <w:ilvl w:val="0"/>
          <w:numId w:val="1"/>
        </w:numPr>
        <w:adjustRightInd w:val="0"/>
        <w:snapToGrid w:val="0"/>
        <w:ind w:firstLineChars="0"/>
        <w:jc w:val="left"/>
        <w:rPr>
          <w:rFonts w:eastAsia="仿宋"/>
          <w:color w:val="000000"/>
          <w:kern w:val="0"/>
          <w:sz w:val="18"/>
          <w:szCs w:val="18"/>
        </w:rPr>
      </w:pPr>
      <w:r w:rsidRPr="00F84DB1">
        <w:rPr>
          <w:sz w:val="18"/>
          <w:szCs w:val="18"/>
        </w:rPr>
        <w:t>D</w:t>
      </w:r>
      <w:r w:rsidRPr="00F84DB1">
        <w:rPr>
          <w:rFonts w:eastAsia="楷体"/>
          <w:sz w:val="18"/>
          <w:szCs w:val="18"/>
        </w:rPr>
        <w:t xml:space="preserve">an Cui; Linlin Sui; Xiao Han; Man Zhang; Zhenzhen Guo; Wanfang Chen; Xinxin Yu; Qiannan Sun; Ming Dong; Tonghui Ma; </w:t>
      </w:r>
      <w:r w:rsidRPr="00F84DB1">
        <w:rPr>
          <w:rFonts w:eastAsia="楷体"/>
          <w:b/>
          <w:bCs/>
          <w:sz w:val="18"/>
          <w:szCs w:val="18"/>
        </w:rPr>
        <w:t>Ying Kong</w:t>
      </w:r>
      <w:r w:rsidRPr="00F84DB1">
        <w:rPr>
          <w:rFonts w:eastAsia="楷体"/>
          <w:sz w:val="18"/>
          <w:szCs w:val="18"/>
        </w:rPr>
        <w:t>; Aquaporin-3 mediates ovarian steroid hormone-induced moti lity of endometrial epithelial cells</w:t>
      </w:r>
      <w:r w:rsidRPr="00F84DB1">
        <w:rPr>
          <w:rFonts w:eastAsia="楷体"/>
          <w:sz w:val="18"/>
          <w:szCs w:val="18"/>
        </w:rPr>
        <w:t>，</w:t>
      </w:r>
      <w:r w:rsidRPr="00F84DB1">
        <w:rPr>
          <w:rFonts w:eastAsia="楷体"/>
          <w:sz w:val="18"/>
          <w:szCs w:val="18"/>
        </w:rPr>
        <w:t xml:space="preserve">Human Reproduction, 2018, 33(11): 2060-2073 </w:t>
      </w:r>
      <w:r w:rsidRPr="00F84DB1">
        <w:rPr>
          <w:rFonts w:eastAsia="楷体"/>
          <w:sz w:val="18"/>
          <w:szCs w:val="18"/>
        </w:rPr>
        <w:t>（</w:t>
      </w:r>
      <w:r w:rsidRPr="00F84DB1">
        <w:rPr>
          <w:rFonts w:eastAsia="楷体"/>
          <w:sz w:val="18"/>
          <w:szCs w:val="18"/>
        </w:rPr>
        <w:t>Q1</w:t>
      </w:r>
      <w:r w:rsidRPr="00F84DB1">
        <w:rPr>
          <w:rFonts w:eastAsia="楷体"/>
          <w:sz w:val="18"/>
          <w:szCs w:val="18"/>
        </w:rPr>
        <w:t>区，</w:t>
      </w:r>
      <w:r w:rsidRPr="00F84DB1">
        <w:rPr>
          <w:rFonts w:eastAsia="楷体"/>
          <w:sz w:val="18"/>
          <w:szCs w:val="18"/>
        </w:rPr>
        <w:t>IF 6.918</w:t>
      </w:r>
      <w:r w:rsidRPr="00F84DB1">
        <w:rPr>
          <w:rFonts w:eastAsia="楷体"/>
          <w:sz w:val="18"/>
          <w:szCs w:val="18"/>
        </w:rPr>
        <w:t>）</w:t>
      </w:r>
    </w:p>
    <w:p w:rsidR="00F84DB1" w:rsidRPr="00F84DB1" w:rsidRDefault="00B4425D" w:rsidP="009A204E">
      <w:pPr>
        <w:pStyle w:val="a7"/>
        <w:numPr>
          <w:ilvl w:val="0"/>
          <w:numId w:val="1"/>
        </w:numPr>
        <w:adjustRightInd w:val="0"/>
        <w:snapToGrid w:val="0"/>
        <w:ind w:firstLineChars="0"/>
        <w:jc w:val="left"/>
        <w:rPr>
          <w:rFonts w:eastAsia="仿宋"/>
          <w:color w:val="000000"/>
          <w:kern w:val="0"/>
          <w:sz w:val="18"/>
          <w:szCs w:val="18"/>
        </w:rPr>
      </w:pPr>
      <w:r w:rsidRPr="00F84DB1">
        <w:rPr>
          <w:rFonts w:eastAsia="楷体"/>
          <w:sz w:val="18"/>
          <w:szCs w:val="18"/>
        </w:rPr>
        <w:t xml:space="preserve">Zhang Hongshuo; Qi Jia; Wang Yufei; Sun Jing; Li Zhen; Sui Linlin; Fan Jianhui; Liu Chao; Shang Yuhong; Kong Li; </w:t>
      </w:r>
      <w:r w:rsidRPr="00F84DB1">
        <w:rPr>
          <w:rFonts w:eastAsia="楷体"/>
          <w:b/>
          <w:bCs/>
          <w:sz w:val="18"/>
          <w:szCs w:val="18"/>
        </w:rPr>
        <w:t>Kong Ying</w:t>
      </w:r>
      <w:r w:rsidRPr="00F84DB1">
        <w:rPr>
          <w:rFonts w:eastAsia="楷体"/>
          <w:sz w:val="18"/>
          <w:szCs w:val="18"/>
        </w:rPr>
        <w:t>; Progesterone Regulates Glucose Metabolism Through Glucose Transporter 1 to Promote Endometrial Receptivity, Frontiers in Physiology, 2020, 11(0): 0 -543148</w:t>
      </w:r>
      <w:r w:rsidRPr="00F84DB1">
        <w:rPr>
          <w:rFonts w:eastAsia="楷体"/>
          <w:sz w:val="18"/>
          <w:szCs w:val="18"/>
        </w:rPr>
        <w:t>（</w:t>
      </w:r>
      <w:r w:rsidRPr="00F84DB1">
        <w:rPr>
          <w:rFonts w:eastAsia="楷体"/>
          <w:sz w:val="18"/>
          <w:szCs w:val="18"/>
        </w:rPr>
        <w:t>Q1</w:t>
      </w:r>
      <w:r w:rsidRPr="00F84DB1">
        <w:rPr>
          <w:rFonts w:eastAsia="楷体"/>
          <w:sz w:val="18"/>
          <w:szCs w:val="18"/>
        </w:rPr>
        <w:t>区，</w:t>
      </w:r>
      <w:r w:rsidRPr="00F84DB1">
        <w:rPr>
          <w:rFonts w:eastAsia="楷体"/>
          <w:sz w:val="18"/>
          <w:szCs w:val="18"/>
        </w:rPr>
        <w:t>IF 4.566</w:t>
      </w:r>
      <w:r w:rsidRPr="00F84DB1">
        <w:rPr>
          <w:rFonts w:eastAsia="楷体"/>
          <w:sz w:val="18"/>
          <w:szCs w:val="18"/>
        </w:rPr>
        <w:t>）</w:t>
      </w:r>
    </w:p>
    <w:p w:rsidR="009A204E" w:rsidRPr="00F84DB1" w:rsidRDefault="00B4425D" w:rsidP="009A204E">
      <w:pPr>
        <w:pStyle w:val="a7"/>
        <w:numPr>
          <w:ilvl w:val="0"/>
          <w:numId w:val="1"/>
        </w:numPr>
        <w:adjustRightInd w:val="0"/>
        <w:snapToGrid w:val="0"/>
        <w:ind w:firstLineChars="0"/>
        <w:jc w:val="left"/>
        <w:rPr>
          <w:rFonts w:eastAsia="仿宋"/>
          <w:color w:val="000000"/>
          <w:kern w:val="0"/>
          <w:sz w:val="18"/>
          <w:szCs w:val="18"/>
        </w:rPr>
      </w:pPr>
      <w:r w:rsidRPr="00F84DB1">
        <w:rPr>
          <w:rFonts w:eastAsia="楷体"/>
          <w:sz w:val="18"/>
          <w:szCs w:val="18"/>
        </w:rPr>
        <w:t xml:space="preserve">Han Xiao; Li Xiaoxue; Liu Huan; Zhang Hongshuo; Li Aoying; Dong Ming; Xu Yuefei; Yan Bin; Sui Linlin; </w:t>
      </w:r>
      <w:r w:rsidRPr="00F84DB1">
        <w:rPr>
          <w:rFonts w:eastAsia="楷体"/>
          <w:b/>
          <w:bCs/>
          <w:sz w:val="18"/>
          <w:szCs w:val="18"/>
        </w:rPr>
        <w:t>Kong Ying</w:t>
      </w:r>
      <w:r w:rsidRPr="00F84DB1">
        <w:rPr>
          <w:rFonts w:eastAsia="楷体"/>
          <w:sz w:val="18"/>
          <w:szCs w:val="18"/>
        </w:rPr>
        <w:t>; O-GlcNAc modification influences endometrial receptivity by promoting endometrial cell proliferation, migration and invasion</w:t>
      </w:r>
      <w:r w:rsidRPr="00F84DB1">
        <w:rPr>
          <w:rFonts w:eastAsia="楷体"/>
          <w:sz w:val="18"/>
          <w:szCs w:val="18"/>
        </w:rPr>
        <w:t>，</w:t>
      </w:r>
      <w:r w:rsidRPr="00F84DB1">
        <w:rPr>
          <w:rFonts w:eastAsia="楷体"/>
          <w:sz w:val="18"/>
          <w:szCs w:val="18"/>
        </w:rPr>
        <w:t>Oncology Reports, 2019, 42(5): 20 65-2074</w:t>
      </w:r>
    </w:p>
    <w:p w:rsidR="009A204E" w:rsidRPr="009A204E" w:rsidRDefault="00B4425D" w:rsidP="009A204E">
      <w:pPr>
        <w:pStyle w:val="a7"/>
        <w:numPr>
          <w:ilvl w:val="0"/>
          <w:numId w:val="1"/>
        </w:numPr>
        <w:adjustRightInd w:val="0"/>
        <w:snapToGrid w:val="0"/>
        <w:ind w:firstLineChars="0"/>
        <w:jc w:val="left"/>
        <w:rPr>
          <w:rFonts w:eastAsia="仿宋"/>
          <w:color w:val="000000"/>
          <w:kern w:val="0"/>
          <w:sz w:val="18"/>
          <w:szCs w:val="18"/>
        </w:rPr>
      </w:pPr>
      <w:r w:rsidRPr="009A204E">
        <w:rPr>
          <w:rFonts w:eastAsia="楷体"/>
          <w:sz w:val="18"/>
          <w:szCs w:val="18"/>
        </w:rPr>
        <w:t>Guo ZZ</w:t>
      </w:r>
      <w:r w:rsidRPr="009A204E">
        <w:rPr>
          <w:rFonts w:eastAsia="楷体"/>
          <w:sz w:val="18"/>
          <w:szCs w:val="18"/>
        </w:rPr>
        <w:t>，</w:t>
      </w:r>
      <w:r w:rsidRPr="009A204E">
        <w:rPr>
          <w:rFonts w:eastAsia="楷体"/>
          <w:sz w:val="18"/>
          <w:szCs w:val="18"/>
        </w:rPr>
        <w:t>Sui LL</w:t>
      </w:r>
      <w:r w:rsidRPr="009A204E">
        <w:rPr>
          <w:rFonts w:eastAsia="楷体"/>
          <w:sz w:val="18"/>
          <w:szCs w:val="18"/>
        </w:rPr>
        <w:t>，</w:t>
      </w:r>
      <w:r w:rsidRPr="009A204E">
        <w:rPr>
          <w:rFonts w:eastAsia="楷体"/>
          <w:sz w:val="18"/>
          <w:szCs w:val="18"/>
        </w:rPr>
        <w:t>Qi J</w:t>
      </w:r>
      <w:r w:rsidRPr="009A204E">
        <w:rPr>
          <w:rFonts w:eastAsia="楷体"/>
          <w:sz w:val="18"/>
          <w:szCs w:val="18"/>
        </w:rPr>
        <w:t>，</w:t>
      </w:r>
      <w:r w:rsidRPr="009A204E">
        <w:rPr>
          <w:rFonts w:eastAsia="楷体"/>
          <w:sz w:val="18"/>
          <w:szCs w:val="18"/>
        </w:rPr>
        <w:t>Sun QN</w:t>
      </w:r>
      <w:r w:rsidRPr="009A204E">
        <w:rPr>
          <w:rFonts w:eastAsia="楷体"/>
          <w:sz w:val="18"/>
          <w:szCs w:val="18"/>
        </w:rPr>
        <w:t>，</w:t>
      </w:r>
      <w:r w:rsidRPr="009A204E">
        <w:rPr>
          <w:rFonts w:eastAsia="楷体"/>
          <w:sz w:val="18"/>
          <w:szCs w:val="18"/>
        </w:rPr>
        <w:t>Xu YF</w:t>
      </w:r>
      <w:r w:rsidRPr="009A204E">
        <w:rPr>
          <w:rFonts w:eastAsia="楷体"/>
          <w:sz w:val="18"/>
          <w:szCs w:val="18"/>
        </w:rPr>
        <w:t>，</w:t>
      </w:r>
      <w:r w:rsidRPr="009A204E">
        <w:rPr>
          <w:rFonts w:eastAsia="楷体"/>
          <w:sz w:val="18"/>
          <w:szCs w:val="18"/>
        </w:rPr>
        <w:t>Zou N</w:t>
      </w:r>
      <w:r w:rsidRPr="009A204E">
        <w:rPr>
          <w:rFonts w:eastAsia="楷体"/>
          <w:sz w:val="18"/>
          <w:szCs w:val="18"/>
        </w:rPr>
        <w:t>，</w:t>
      </w:r>
      <w:r w:rsidRPr="009A204E">
        <w:rPr>
          <w:rFonts w:eastAsia="楷体"/>
          <w:sz w:val="18"/>
          <w:szCs w:val="18"/>
        </w:rPr>
        <w:t>Xie YP</w:t>
      </w:r>
      <w:r w:rsidRPr="009A204E">
        <w:rPr>
          <w:rFonts w:eastAsia="楷体"/>
          <w:sz w:val="18"/>
          <w:szCs w:val="18"/>
        </w:rPr>
        <w:t>，</w:t>
      </w:r>
      <w:r w:rsidRPr="009A204E">
        <w:rPr>
          <w:rFonts w:eastAsia="楷体"/>
          <w:b/>
          <w:bCs/>
          <w:sz w:val="18"/>
          <w:szCs w:val="18"/>
        </w:rPr>
        <w:t>Kong Y</w:t>
      </w:r>
      <w:r w:rsidRPr="009A204E">
        <w:rPr>
          <w:rFonts w:eastAsia="楷体"/>
          <w:sz w:val="18"/>
          <w:szCs w:val="18"/>
        </w:rPr>
        <w:t xml:space="preserve">. miR-196b inhibits cell migration and invasion through targeting MAP3K1 in hydatidiform mole, </w:t>
      </w:r>
      <w:r w:rsidRPr="009A204E">
        <w:rPr>
          <w:rFonts w:eastAsia="楷体"/>
          <w:i/>
          <w:iCs/>
          <w:sz w:val="18"/>
          <w:szCs w:val="18"/>
        </w:rPr>
        <w:t>Biomedicine &amp; Pharmacotherapy,</w:t>
      </w:r>
      <w:r w:rsidRPr="009A204E">
        <w:rPr>
          <w:rFonts w:eastAsia="楷体"/>
          <w:sz w:val="18"/>
          <w:szCs w:val="18"/>
        </w:rPr>
        <w:t xml:space="preserve"> 2019,113, 5</w:t>
      </w:r>
      <w:r w:rsidRPr="009A204E">
        <w:rPr>
          <w:rFonts w:eastAsia="楷体"/>
          <w:sz w:val="18"/>
          <w:szCs w:val="18"/>
        </w:rPr>
        <w:t>（</w:t>
      </w:r>
      <w:r w:rsidRPr="009A204E">
        <w:rPr>
          <w:rFonts w:eastAsia="楷体"/>
          <w:sz w:val="18"/>
          <w:szCs w:val="18"/>
        </w:rPr>
        <w:t>Q1</w:t>
      </w:r>
      <w:r w:rsidRPr="009A204E">
        <w:rPr>
          <w:rFonts w:eastAsia="楷体"/>
          <w:sz w:val="18"/>
          <w:szCs w:val="18"/>
        </w:rPr>
        <w:t>区，</w:t>
      </w:r>
      <w:r w:rsidRPr="009A204E">
        <w:rPr>
          <w:rFonts w:eastAsia="楷体"/>
          <w:sz w:val="18"/>
          <w:szCs w:val="18"/>
        </w:rPr>
        <w:t>IF 6.530</w:t>
      </w:r>
      <w:r w:rsidRPr="009A204E">
        <w:rPr>
          <w:rFonts w:eastAsia="楷体"/>
          <w:sz w:val="18"/>
          <w:szCs w:val="18"/>
        </w:rPr>
        <w:t>）</w:t>
      </w:r>
    </w:p>
    <w:p w:rsidR="009A204E" w:rsidRPr="009A204E" w:rsidRDefault="00B4425D" w:rsidP="009A204E">
      <w:pPr>
        <w:pStyle w:val="a7"/>
        <w:numPr>
          <w:ilvl w:val="0"/>
          <w:numId w:val="1"/>
        </w:numPr>
        <w:adjustRightInd w:val="0"/>
        <w:snapToGrid w:val="0"/>
        <w:ind w:firstLineChars="0"/>
        <w:jc w:val="left"/>
        <w:rPr>
          <w:rFonts w:eastAsia="仿宋"/>
          <w:color w:val="000000"/>
          <w:kern w:val="0"/>
          <w:sz w:val="18"/>
          <w:szCs w:val="18"/>
        </w:rPr>
      </w:pPr>
      <w:r w:rsidRPr="009A204E">
        <w:rPr>
          <w:rFonts w:eastAsia="楷体"/>
          <w:sz w:val="18"/>
          <w:szCs w:val="18"/>
        </w:rPr>
        <w:t xml:space="preserve">Gu J, Sui LL, Ma YN, Guo ZZ, Zhang M, Zhu CY, Cai Z, </w:t>
      </w:r>
      <w:r w:rsidRPr="009A204E">
        <w:rPr>
          <w:rFonts w:eastAsia="楷体"/>
          <w:b/>
          <w:bCs/>
          <w:sz w:val="18"/>
          <w:szCs w:val="18"/>
        </w:rPr>
        <w:t>Kong Y</w:t>
      </w:r>
      <w:r w:rsidRPr="009A204E">
        <w:rPr>
          <w:rFonts w:eastAsia="楷体"/>
          <w:sz w:val="18"/>
          <w:szCs w:val="18"/>
        </w:rPr>
        <w:t xml:space="preserve">. Correlation analysis of human embryo Le(Y) glycan antigen expression and embryo quality, </w:t>
      </w:r>
      <w:r w:rsidRPr="009A204E">
        <w:rPr>
          <w:rFonts w:eastAsia="楷体"/>
          <w:i/>
          <w:iCs/>
          <w:sz w:val="18"/>
          <w:szCs w:val="18"/>
        </w:rPr>
        <w:t xml:space="preserve">Experimental and therapeutic medicine, </w:t>
      </w:r>
      <w:r w:rsidRPr="009A204E">
        <w:rPr>
          <w:rFonts w:eastAsia="楷体"/>
          <w:sz w:val="18"/>
          <w:szCs w:val="18"/>
        </w:rPr>
        <w:t xml:space="preserve">14(1)159-162, 2017   </w:t>
      </w:r>
    </w:p>
    <w:p w:rsidR="009A204E" w:rsidRPr="009A204E" w:rsidRDefault="00B4425D" w:rsidP="009A204E">
      <w:pPr>
        <w:pStyle w:val="a7"/>
        <w:numPr>
          <w:ilvl w:val="0"/>
          <w:numId w:val="1"/>
        </w:numPr>
        <w:adjustRightInd w:val="0"/>
        <w:snapToGrid w:val="0"/>
        <w:ind w:firstLineChars="0"/>
        <w:jc w:val="left"/>
        <w:rPr>
          <w:rFonts w:eastAsia="仿宋"/>
          <w:color w:val="000000"/>
          <w:kern w:val="0"/>
          <w:sz w:val="18"/>
          <w:szCs w:val="18"/>
        </w:rPr>
      </w:pPr>
      <w:r w:rsidRPr="009A204E">
        <w:rPr>
          <w:rFonts w:eastAsia="楷体"/>
          <w:sz w:val="18"/>
          <w:szCs w:val="18"/>
        </w:rPr>
        <w:t xml:space="preserve">Dong M, Yu XX, Chen WF, Guo ZZ, Sui LL, Xu YF, Shang YH, Niu WD, </w:t>
      </w:r>
      <w:r w:rsidRPr="009A204E">
        <w:rPr>
          <w:rFonts w:eastAsia="楷体"/>
          <w:b/>
          <w:bCs/>
          <w:sz w:val="18"/>
          <w:szCs w:val="18"/>
        </w:rPr>
        <w:t>Kong Y</w:t>
      </w:r>
      <w:r w:rsidRPr="009A204E">
        <w:rPr>
          <w:rFonts w:eastAsia="楷体"/>
          <w:sz w:val="18"/>
          <w:szCs w:val="18"/>
        </w:rPr>
        <w:t xml:space="preserve">. Osteopontin Promotes Bone Destruction in Periapical Periodontitis by Activating the NF-kappa B Pathway, </w:t>
      </w:r>
      <w:r w:rsidRPr="009A204E">
        <w:rPr>
          <w:rFonts w:eastAsia="楷体"/>
          <w:i/>
          <w:iCs/>
          <w:sz w:val="18"/>
          <w:szCs w:val="18"/>
        </w:rPr>
        <w:t xml:space="preserve">Cellular Physiology and Biochemistry, </w:t>
      </w:r>
      <w:r w:rsidRPr="009A204E">
        <w:rPr>
          <w:rFonts w:eastAsia="楷体"/>
          <w:sz w:val="18"/>
          <w:szCs w:val="18"/>
        </w:rPr>
        <w:t>49(3)884-898, 2018</w:t>
      </w:r>
    </w:p>
    <w:p w:rsidR="00F84DB1" w:rsidRPr="00F84DB1" w:rsidRDefault="00E85C3F" w:rsidP="009A204E">
      <w:pPr>
        <w:pStyle w:val="a7"/>
        <w:numPr>
          <w:ilvl w:val="0"/>
          <w:numId w:val="1"/>
        </w:numPr>
        <w:adjustRightInd w:val="0"/>
        <w:snapToGrid w:val="0"/>
        <w:ind w:firstLineChars="0"/>
        <w:jc w:val="left"/>
        <w:rPr>
          <w:sz w:val="18"/>
          <w:szCs w:val="18"/>
        </w:rPr>
      </w:pPr>
      <w:r w:rsidRPr="00F84DB1">
        <w:rPr>
          <w:sz w:val="18"/>
          <w:szCs w:val="18"/>
        </w:rPr>
        <w:t xml:space="preserve">Zhenzhen Guo; Qiannan Sun; Yangyou Liao; Chao Liu; Wenjie Zhao; Xiaoxue Li; Huan Liu; Min g Dong; Yuhong Shang; Linlin Sui; </w:t>
      </w:r>
      <w:r w:rsidRPr="00F84DB1">
        <w:rPr>
          <w:b/>
          <w:bCs/>
          <w:sz w:val="18"/>
          <w:szCs w:val="18"/>
        </w:rPr>
        <w:t xml:space="preserve">Ying Kong </w:t>
      </w:r>
      <w:r w:rsidRPr="00F84DB1">
        <w:rPr>
          <w:sz w:val="18"/>
          <w:szCs w:val="18"/>
        </w:rPr>
        <w:t xml:space="preserve">; MiR-30a-5p inhibits proliferation and metastasis of hydatidiform mole by regulating B3GNT5 through ERK/AKT pathways, Cancer Cell International , 2020 , 24(15): </w:t>
      </w:r>
      <w:r w:rsidRPr="00F84DB1">
        <w:rPr>
          <w:rFonts w:eastAsia="楷体"/>
          <w:sz w:val="18"/>
          <w:szCs w:val="18"/>
        </w:rPr>
        <w:t>8350-8362. (</w:t>
      </w:r>
      <w:r w:rsidRPr="00F84DB1">
        <w:rPr>
          <w:rFonts w:eastAsia="楷体"/>
          <w:sz w:val="18"/>
          <w:szCs w:val="18"/>
        </w:rPr>
        <w:t>期刊论文</w:t>
      </w:r>
      <w:r w:rsidRPr="00F84DB1">
        <w:rPr>
          <w:rFonts w:eastAsia="楷体"/>
          <w:sz w:val="18"/>
          <w:szCs w:val="18"/>
        </w:rPr>
        <w:t xml:space="preserve">) </w:t>
      </w:r>
      <w:r w:rsidRPr="00F84DB1">
        <w:rPr>
          <w:rFonts w:eastAsia="楷体"/>
          <w:color w:val="0070C0"/>
          <w:sz w:val="18"/>
          <w:szCs w:val="18"/>
        </w:rPr>
        <w:t>（</w:t>
      </w:r>
      <w:r w:rsidRPr="00F84DB1">
        <w:rPr>
          <w:rFonts w:eastAsia="楷体"/>
          <w:color w:val="0070C0"/>
          <w:sz w:val="18"/>
          <w:szCs w:val="18"/>
        </w:rPr>
        <w:t>Q2</w:t>
      </w:r>
      <w:r w:rsidRPr="00F84DB1">
        <w:rPr>
          <w:rFonts w:eastAsia="楷体"/>
          <w:color w:val="0070C0"/>
          <w:sz w:val="18"/>
          <w:szCs w:val="18"/>
        </w:rPr>
        <w:t>区，</w:t>
      </w:r>
      <w:r w:rsidRPr="00F84DB1">
        <w:rPr>
          <w:rFonts w:eastAsia="楷体"/>
          <w:color w:val="0070C0"/>
          <w:sz w:val="18"/>
          <w:szCs w:val="18"/>
        </w:rPr>
        <w:t>IF 5.310</w:t>
      </w:r>
      <w:r w:rsidRPr="00F84DB1">
        <w:rPr>
          <w:rFonts w:eastAsia="楷体"/>
          <w:color w:val="0070C0"/>
          <w:sz w:val="18"/>
          <w:szCs w:val="18"/>
        </w:rPr>
        <w:t>）</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Chen LL</w:t>
      </w:r>
      <w:r w:rsidRPr="00F84DB1">
        <w:rPr>
          <w:sz w:val="18"/>
          <w:szCs w:val="18"/>
          <w:vertAlign w:val="superscript"/>
        </w:rPr>
        <w:t>#</w:t>
      </w:r>
      <w:r w:rsidRPr="00F84DB1">
        <w:rPr>
          <w:sz w:val="18"/>
          <w:szCs w:val="18"/>
        </w:rPr>
        <w:t>, Xie YP</w:t>
      </w:r>
      <w:r w:rsidRPr="00F84DB1">
        <w:rPr>
          <w:sz w:val="18"/>
          <w:szCs w:val="18"/>
          <w:vertAlign w:val="superscript"/>
        </w:rPr>
        <w:t>#</w:t>
      </w:r>
      <w:r w:rsidRPr="00F84DB1">
        <w:rPr>
          <w:sz w:val="18"/>
          <w:szCs w:val="18"/>
        </w:rPr>
        <w:t xml:space="preserve">, Fan JH, Sui LL, Xu YF, Zhang NN, Ma YN, Li YH, </w:t>
      </w:r>
      <w:r w:rsidRPr="00F84DB1">
        <w:rPr>
          <w:b/>
          <w:bCs/>
          <w:sz w:val="18"/>
          <w:szCs w:val="18"/>
        </w:rPr>
        <w:t>Kong Y*</w:t>
      </w:r>
      <w:r w:rsidRPr="00F84DB1">
        <w:rPr>
          <w:sz w:val="18"/>
          <w:szCs w:val="18"/>
        </w:rPr>
        <w:t xml:space="preserve">. HCG induces beta 1,4-GalT I expression and promotes embryo implantation, </w:t>
      </w:r>
      <w:r w:rsidRPr="00F84DB1">
        <w:rPr>
          <w:i/>
          <w:iCs/>
          <w:sz w:val="18"/>
          <w:szCs w:val="18"/>
        </w:rPr>
        <w:t xml:space="preserve">International Journal of Clinical and Experimental Pathology, </w:t>
      </w:r>
      <w:r w:rsidRPr="00F84DB1">
        <w:rPr>
          <w:sz w:val="18"/>
          <w:szCs w:val="18"/>
        </w:rPr>
        <w:t>8(5)4673-4683, 2015</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Li YH</w:t>
      </w:r>
      <w:r w:rsidRPr="00F84DB1">
        <w:rPr>
          <w:sz w:val="18"/>
          <w:szCs w:val="18"/>
          <w:vertAlign w:val="superscript"/>
        </w:rPr>
        <w:t>#</w:t>
      </w:r>
      <w:r w:rsidRPr="00F84DB1">
        <w:rPr>
          <w:sz w:val="18"/>
          <w:szCs w:val="18"/>
        </w:rPr>
        <w:t>, Xie YP</w:t>
      </w:r>
      <w:r w:rsidRPr="00F84DB1">
        <w:rPr>
          <w:sz w:val="18"/>
          <w:szCs w:val="18"/>
          <w:vertAlign w:val="superscript"/>
        </w:rPr>
        <w:t>#</w:t>
      </w:r>
      <w:r w:rsidRPr="00F84DB1">
        <w:rPr>
          <w:sz w:val="18"/>
          <w:szCs w:val="18"/>
        </w:rPr>
        <w:t xml:space="preserve">,Cui D, Ma YN, Sui LL, Zhu CY, Kong H*, </w:t>
      </w:r>
      <w:r w:rsidRPr="00F84DB1">
        <w:rPr>
          <w:b/>
          <w:bCs/>
          <w:sz w:val="18"/>
          <w:szCs w:val="18"/>
        </w:rPr>
        <w:t>Kong Y*</w:t>
      </w:r>
      <w:r w:rsidRPr="00F84DB1">
        <w:rPr>
          <w:sz w:val="18"/>
          <w:szCs w:val="18"/>
        </w:rPr>
        <w:t xml:space="preserve">. Osteopontin Promotes Invasion, Migration and Epithelial-Mesenchymal Transition of Human Endometrial Carcinoma Cell HEC-1A Through AKT and ERK1/2 Signaling. </w:t>
      </w:r>
      <w:r w:rsidRPr="00F84DB1">
        <w:rPr>
          <w:i/>
          <w:iCs/>
          <w:sz w:val="18"/>
          <w:szCs w:val="18"/>
        </w:rPr>
        <w:t xml:space="preserve">Cellular Physiology and Biochemistry, </w:t>
      </w:r>
      <w:r w:rsidRPr="00F84DB1">
        <w:rPr>
          <w:sz w:val="18"/>
          <w:szCs w:val="18"/>
        </w:rPr>
        <w:t>37(4)1503-1512, 2015</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 xml:space="preserve">Gu J, Fan JH, Xu YF, Xie YP, Gong T, </w:t>
      </w:r>
      <w:r w:rsidRPr="00F84DB1">
        <w:rPr>
          <w:b/>
          <w:bCs/>
          <w:sz w:val="18"/>
          <w:szCs w:val="18"/>
        </w:rPr>
        <w:t>Kong Y*</w:t>
      </w:r>
      <w:r w:rsidRPr="00F84DB1">
        <w:rPr>
          <w:sz w:val="18"/>
          <w:szCs w:val="18"/>
        </w:rPr>
        <w:t>. Regulatory function of beta 1,4-galactosyltransferase I expression on Lewis-Y glycan and embryo implantation.</w:t>
      </w:r>
      <w:r w:rsidRPr="00F84DB1">
        <w:rPr>
          <w:i/>
          <w:iCs/>
          <w:sz w:val="18"/>
          <w:szCs w:val="18"/>
        </w:rPr>
        <w:t xml:space="preserve"> Gene</w:t>
      </w:r>
      <w:r w:rsidRPr="00F84DB1">
        <w:rPr>
          <w:sz w:val="18"/>
          <w:szCs w:val="18"/>
        </w:rPr>
        <w:t>, 562(2)220-225, 2015</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Xie YP</w:t>
      </w:r>
      <w:r w:rsidRPr="00F84DB1">
        <w:rPr>
          <w:sz w:val="18"/>
          <w:szCs w:val="18"/>
          <w:vertAlign w:val="superscript"/>
        </w:rPr>
        <w:t>#</w:t>
      </w:r>
      <w:r w:rsidRPr="00F84DB1">
        <w:rPr>
          <w:sz w:val="18"/>
          <w:szCs w:val="18"/>
        </w:rPr>
        <w:t xml:space="preserve">, Cui D, Sui LL, Xu YF, Zhang NN, Ma YN, Li YH, </w:t>
      </w:r>
      <w:r w:rsidRPr="00F84DB1">
        <w:rPr>
          <w:b/>
          <w:bCs/>
          <w:sz w:val="18"/>
          <w:szCs w:val="18"/>
        </w:rPr>
        <w:t>Kong Y*</w:t>
      </w:r>
      <w:r w:rsidRPr="00F84DB1">
        <w:rPr>
          <w:sz w:val="18"/>
          <w:szCs w:val="18"/>
        </w:rPr>
        <w:t>. Induction of forkhead box M1 (FoxM1) by EGF through ERK signaling pathway promotes trophoblast cell invasion. Cell and Tissue Research, 362(2) 421-430, 2015</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Xie YP</w:t>
      </w:r>
      <w:r w:rsidRPr="00F84DB1">
        <w:rPr>
          <w:sz w:val="18"/>
          <w:szCs w:val="18"/>
          <w:vertAlign w:val="superscript"/>
        </w:rPr>
        <w:t>#</w:t>
      </w:r>
      <w:r w:rsidRPr="00F84DB1">
        <w:rPr>
          <w:sz w:val="18"/>
          <w:szCs w:val="18"/>
        </w:rPr>
        <w:t>, Ma YN</w:t>
      </w:r>
      <w:r w:rsidRPr="00F84DB1">
        <w:rPr>
          <w:sz w:val="18"/>
          <w:szCs w:val="18"/>
          <w:vertAlign w:val="superscript"/>
        </w:rPr>
        <w:t>#</w:t>
      </w:r>
      <w:r w:rsidRPr="00F84DB1">
        <w:rPr>
          <w:sz w:val="18"/>
          <w:szCs w:val="18"/>
        </w:rPr>
        <w:t xml:space="preserve">, Zhu CY, Cui D, Sui LL, Xu YF, Yan B*, </w:t>
      </w:r>
      <w:r w:rsidRPr="00F84DB1">
        <w:rPr>
          <w:b/>
          <w:bCs/>
          <w:sz w:val="18"/>
          <w:szCs w:val="18"/>
        </w:rPr>
        <w:t>Kong Y*</w:t>
      </w:r>
      <w:r w:rsidRPr="00F84DB1">
        <w:rPr>
          <w:sz w:val="18"/>
          <w:szCs w:val="18"/>
        </w:rPr>
        <w:t xml:space="preserve">. Regulation and expression of FOXO1 and FOXO3 in endometrial tissue during the menstrual cycle of human and mouse. </w:t>
      </w:r>
      <w:r w:rsidRPr="00F84DB1">
        <w:rPr>
          <w:i/>
          <w:iCs/>
          <w:sz w:val="18"/>
          <w:szCs w:val="18"/>
        </w:rPr>
        <w:t>International Journal of Clinical and Experimental medicine</w:t>
      </w:r>
      <w:r w:rsidRPr="00F84DB1">
        <w:rPr>
          <w:sz w:val="18"/>
          <w:szCs w:val="18"/>
        </w:rPr>
        <w:t>, 9(2)1322-1329, 2016</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Cui D</w:t>
      </w:r>
      <w:r w:rsidRPr="00F84DB1">
        <w:rPr>
          <w:sz w:val="18"/>
          <w:szCs w:val="18"/>
          <w:vertAlign w:val="superscript"/>
        </w:rPr>
        <w:t>#</w:t>
      </w:r>
      <w:r w:rsidRPr="00F84DB1">
        <w:rPr>
          <w:sz w:val="18"/>
          <w:szCs w:val="18"/>
        </w:rPr>
        <w:t>, Sui LL</w:t>
      </w:r>
      <w:r w:rsidRPr="00F84DB1">
        <w:rPr>
          <w:sz w:val="18"/>
          <w:szCs w:val="18"/>
          <w:vertAlign w:val="superscript"/>
        </w:rPr>
        <w:t>#</w:t>
      </w:r>
      <w:r w:rsidRPr="00F84DB1">
        <w:rPr>
          <w:sz w:val="18"/>
          <w:szCs w:val="18"/>
        </w:rPr>
        <w:t xml:space="preserve">, Zhu CY, Ma YN, Zhang M, Guo ZZ, Xie YP, </w:t>
      </w:r>
      <w:r w:rsidRPr="00F84DB1">
        <w:rPr>
          <w:b/>
          <w:bCs/>
          <w:sz w:val="18"/>
          <w:szCs w:val="18"/>
        </w:rPr>
        <w:t>Kong Y*</w:t>
      </w:r>
      <w:r w:rsidRPr="00F84DB1">
        <w:rPr>
          <w:sz w:val="18"/>
          <w:szCs w:val="18"/>
        </w:rPr>
        <w:t xml:space="preserve">. Expression of AQP3 in the mice endometrium during estrous cycle and early pregnancy, </w:t>
      </w:r>
      <w:r w:rsidRPr="00F84DB1">
        <w:rPr>
          <w:i/>
          <w:iCs/>
          <w:sz w:val="18"/>
          <w:szCs w:val="18"/>
        </w:rPr>
        <w:t xml:space="preserve">International Journal of Clinical and Experimental Pathology, </w:t>
      </w:r>
      <w:r w:rsidRPr="00F84DB1">
        <w:rPr>
          <w:sz w:val="18"/>
          <w:szCs w:val="18"/>
        </w:rPr>
        <w:t>9(8)8037-8046, 2016.</w:t>
      </w:r>
    </w:p>
    <w:p w:rsidR="00F84DB1" w:rsidRDefault="009A204E" w:rsidP="009A204E">
      <w:pPr>
        <w:pStyle w:val="a7"/>
        <w:numPr>
          <w:ilvl w:val="0"/>
          <w:numId w:val="1"/>
        </w:numPr>
        <w:adjustRightInd w:val="0"/>
        <w:snapToGrid w:val="0"/>
        <w:ind w:firstLineChars="0"/>
        <w:jc w:val="left"/>
        <w:rPr>
          <w:sz w:val="18"/>
          <w:szCs w:val="18"/>
        </w:rPr>
      </w:pPr>
      <w:r w:rsidRPr="00F84DB1">
        <w:rPr>
          <w:sz w:val="18"/>
          <w:szCs w:val="18"/>
        </w:rPr>
        <w:t>Zhang L</w:t>
      </w:r>
      <w:r w:rsidRPr="00F84DB1">
        <w:rPr>
          <w:sz w:val="18"/>
          <w:szCs w:val="18"/>
          <w:vertAlign w:val="superscript"/>
        </w:rPr>
        <w:t>#</w:t>
      </w:r>
      <w:r w:rsidRPr="00F84DB1">
        <w:rPr>
          <w:sz w:val="18"/>
          <w:szCs w:val="18"/>
        </w:rPr>
        <w:t>, Xie YP</w:t>
      </w:r>
      <w:r w:rsidRPr="00F84DB1">
        <w:rPr>
          <w:sz w:val="18"/>
          <w:szCs w:val="18"/>
          <w:vertAlign w:val="superscript"/>
        </w:rPr>
        <w:t>#</w:t>
      </w:r>
      <w:r w:rsidRPr="00F84DB1">
        <w:rPr>
          <w:sz w:val="18"/>
          <w:szCs w:val="18"/>
        </w:rPr>
        <w:t xml:space="preserve">, Dong M, Xu YF, Guo ZZ, Sui LL, </w:t>
      </w:r>
      <w:r w:rsidRPr="00F84DB1">
        <w:rPr>
          <w:b/>
          <w:bCs/>
          <w:sz w:val="18"/>
          <w:szCs w:val="18"/>
        </w:rPr>
        <w:t>Kong Y*</w:t>
      </w:r>
      <w:r w:rsidRPr="00F84DB1">
        <w:rPr>
          <w:sz w:val="18"/>
          <w:szCs w:val="18"/>
        </w:rPr>
        <w:t xml:space="preserve">. Wnt/beta-catenin signaling pathway regulates beta1,4-galactosyltransferase l expression in the endometrium to affect the embryo implantation, </w:t>
      </w:r>
      <w:r w:rsidRPr="00F84DB1">
        <w:rPr>
          <w:i/>
          <w:iCs/>
          <w:sz w:val="18"/>
          <w:szCs w:val="18"/>
        </w:rPr>
        <w:t xml:space="preserve">International Journal of Clinical and Experimental Pathology, </w:t>
      </w:r>
      <w:r w:rsidRPr="00F84DB1">
        <w:rPr>
          <w:sz w:val="18"/>
          <w:szCs w:val="18"/>
        </w:rPr>
        <w:t>10(2) 1756-1764, 2017</w:t>
      </w:r>
    </w:p>
    <w:p w:rsidR="009A204E" w:rsidRPr="00F84DB1" w:rsidRDefault="009A204E" w:rsidP="009A204E">
      <w:pPr>
        <w:pStyle w:val="a7"/>
        <w:numPr>
          <w:ilvl w:val="0"/>
          <w:numId w:val="1"/>
        </w:numPr>
        <w:adjustRightInd w:val="0"/>
        <w:snapToGrid w:val="0"/>
        <w:ind w:firstLineChars="0"/>
        <w:jc w:val="left"/>
        <w:rPr>
          <w:sz w:val="18"/>
          <w:szCs w:val="18"/>
        </w:rPr>
      </w:pPr>
      <w:r w:rsidRPr="00F84DB1">
        <w:rPr>
          <w:sz w:val="18"/>
          <w:szCs w:val="18"/>
        </w:rPr>
        <w:t>Gu J</w:t>
      </w:r>
      <w:r w:rsidRPr="00F84DB1">
        <w:rPr>
          <w:sz w:val="18"/>
          <w:szCs w:val="18"/>
          <w:vertAlign w:val="superscript"/>
        </w:rPr>
        <w:t>#</w:t>
      </w:r>
      <w:r w:rsidRPr="00F84DB1">
        <w:rPr>
          <w:sz w:val="18"/>
          <w:szCs w:val="18"/>
        </w:rPr>
        <w:t>, Sui LL</w:t>
      </w:r>
      <w:r w:rsidRPr="00F84DB1">
        <w:rPr>
          <w:sz w:val="18"/>
          <w:szCs w:val="18"/>
          <w:vertAlign w:val="superscript"/>
        </w:rPr>
        <w:t>#</w:t>
      </w:r>
      <w:r w:rsidRPr="00F84DB1">
        <w:rPr>
          <w:sz w:val="18"/>
          <w:szCs w:val="18"/>
        </w:rPr>
        <w:t xml:space="preserve">, Ma YN, Guo ZZ, Zhang M, Zhu CY, Cai Z*, </w:t>
      </w:r>
      <w:r w:rsidRPr="00F84DB1">
        <w:rPr>
          <w:b/>
          <w:bCs/>
          <w:sz w:val="18"/>
          <w:szCs w:val="18"/>
        </w:rPr>
        <w:t>Kong Y*</w:t>
      </w:r>
      <w:r w:rsidRPr="00F84DB1">
        <w:rPr>
          <w:sz w:val="18"/>
          <w:szCs w:val="18"/>
        </w:rPr>
        <w:t xml:space="preserve">. Correlation analysis of human embryo Le(Y) glycan antigen expression and embryo quality, </w:t>
      </w:r>
      <w:r w:rsidRPr="00F84DB1">
        <w:rPr>
          <w:i/>
          <w:iCs/>
          <w:sz w:val="18"/>
          <w:szCs w:val="18"/>
        </w:rPr>
        <w:t xml:space="preserve">Experimental and therapeutic medicine, </w:t>
      </w:r>
      <w:r w:rsidRPr="00F84DB1">
        <w:rPr>
          <w:sz w:val="18"/>
          <w:szCs w:val="18"/>
        </w:rPr>
        <w:t>14(1)159-162, 2017</w:t>
      </w:r>
    </w:p>
    <w:p w:rsidR="009A204E" w:rsidRPr="00E85C3F" w:rsidRDefault="009A204E" w:rsidP="009A204E">
      <w:pPr>
        <w:pStyle w:val="a7"/>
        <w:adjustRightInd w:val="0"/>
        <w:snapToGrid w:val="0"/>
        <w:spacing w:line="500" w:lineRule="exact"/>
        <w:ind w:left="420" w:firstLineChars="0" w:firstLine="0"/>
        <w:rPr>
          <w:rFonts w:ascii="仿宋" w:eastAsia="仿宋" w:hAnsi="仿宋"/>
          <w:color w:val="000000"/>
          <w:kern w:val="0"/>
          <w:sz w:val="28"/>
          <w:szCs w:val="28"/>
        </w:rPr>
      </w:pPr>
    </w:p>
    <w:p w:rsidR="00013997" w:rsidRDefault="00C333FD" w:rsidP="00C333FD">
      <w:pPr>
        <w:rPr>
          <w:rFonts w:ascii="仿宋" w:eastAsia="仿宋" w:hAnsi="仿宋"/>
          <w:color w:val="000000"/>
          <w:kern w:val="0"/>
          <w:sz w:val="28"/>
          <w:szCs w:val="28"/>
        </w:rPr>
      </w:pPr>
      <w:r>
        <w:rPr>
          <w:rFonts w:ascii="仿宋" w:eastAsia="仿宋" w:hAnsi="仿宋" w:hint="eastAsia"/>
          <w:color w:val="000000"/>
          <w:kern w:val="0"/>
          <w:sz w:val="28"/>
          <w:szCs w:val="28"/>
        </w:rPr>
        <w:t>主要知识产权证明目录：</w:t>
      </w:r>
    </w:p>
    <w:p w:rsidR="00B4425D" w:rsidRPr="00F84DB1" w:rsidRDefault="00B4425D" w:rsidP="00F84DB1">
      <w:pPr>
        <w:snapToGrid w:val="0"/>
        <w:spacing w:line="360" w:lineRule="auto"/>
        <w:ind w:firstLineChars="200" w:firstLine="420"/>
        <w:rPr>
          <w:rFonts w:ascii="仿宋" w:eastAsia="仿宋" w:hAnsi="仿宋"/>
          <w:color w:val="000000"/>
          <w:kern w:val="0"/>
          <w:szCs w:val="21"/>
        </w:rPr>
      </w:pPr>
      <w:r w:rsidRPr="00F84DB1">
        <w:rPr>
          <w:rFonts w:ascii="仿宋" w:eastAsia="仿宋" w:hAnsi="仿宋" w:hint="eastAsia"/>
          <w:color w:val="000000"/>
          <w:kern w:val="0"/>
          <w:szCs w:val="21"/>
        </w:rPr>
        <w:t>专利</w:t>
      </w:r>
      <w:r w:rsidR="00F84DB1" w:rsidRPr="00F84DB1">
        <w:rPr>
          <w:rFonts w:ascii="仿宋" w:eastAsia="仿宋" w:hAnsi="仿宋" w:hint="eastAsia"/>
          <w:color w:val="000000"/>
          <w:kern w:val="0"/>
          <w:szCs w:val="21"/>
        </w:rPr>
        <w:t>；</w:t>
      </w:r>
      <w:r w:rsidRPr="00F84DB1">
        <w:rPr>
          <w:rFonts w:ascii="仿宋" w:eastAsia="仿宋" w:hAnsi="仿宋"/>
          <w:color w:val="000000"/>
          <w:kern w:val="0"/>
          <w:szCs w:val="21"/>
        </w:rPr>
        <w:t xml:space="preserve">隋琳琳; 孔英; 严滨; 商宇红 ; 取卵针, 2018-6-1, 中国, ZL201720440352.8 </w:t>
      </w:r>
    </w:p>
    <w:p w:rsidR="00B4425D" w:rsidRPr="00F84DB1" w:rsidRDefault="00F84DB1" w:rsidP="00F84DB1">
      <w:pPr>
        <w:ind w:firstLineChars="200" w:firstLine="420"/>
        <w:rPr>
          <w:rFonts w:ascii="仿宋" w:eastAsia="仿宋" w:hAnsi="仿宋"/>
          <w:color w:val="000000"/>
          <w:kern w:val="0"/>
          <w:szCs w:val="21"/>
        </w:rPr>
      </w:pPr>
      <w:r w:rsidRPr="00F84DB1">
        <w:rPr>
          <w:rFonts w:ascii="仿宋" w:eastAsia="仿宋" w:hAnsi="仿宋" w:hint="eastAsia"/>
          <w:color w:val="000000"/>
          <w:kern w:val="0"/>
          <w:szCs w:val="21"/>
        </w:rPr>
        <w:t>专著：朱正美</w:t>
      </w:r>
      <w:r>
        <w:rPr>
          <w:rFonts w:ascii="仿宋" w:eastAsia="仿宋" w:hAnsi="仿宋" w:hint="eastAsia"/>
          <w:color w:val="000000"/>
          <w:kern w:val="0"/>
          <w:szCs w:val="21"/>
        </w:rPr>
        <w:t>；</w:t>
      </w:r>
      <w:r w:rsidRPr="00F84DB1">
        <w:rPr>
          <w:rFonts w:ascii="仿宋" w:eastAsia="仿宋" w:hAnsi="仿宋" w:hint="eastAsia"/>
          <w:color w:val="000000"/>
          <w:kern w:val="0"/>
          <w:szCs w:val="21"/>
        </w:rPr>
        <w:t>孔英</w:t>
      </w:r>
      <w:r>
        <w:rPr>
          <w:rFonts w:ascii="仿宋" w:eastAsia="仿宋" w:hAnsi="仿宋" w:hint="eastAsia"/>
          <w:color w:val="000000"/>
          <w:kern w:val="0"/>
          <w:szCs w:val="21"/>
        </w:rPr>
        <w:t>；</w:t>
      </w:r>
      <w:r w:rsidRPr="00F84DB1">
        <w:rPr>
          <w:rFonts w:ascii="仿宋" w:eastAsia="仿宋" w:hAnsi="仿宋" w:hint="eastAsia"/>
          <w:color w:val="000000"/>
          <w:kern w:val="0"/>
          <w:szCs w:val="21"/>
        </w:rPr>
        <w:t>燕秋等《糖链与生殖》国家自然科学基金成果专著，2</w:t>
      </w:r>
      <w:r w:rsidRPr="00F84DB1">
        <w:rPr>
          <w:rFonts w:ascii="仿宋" w:eastAsia="仿宋" w:hAnsi="仿宋"/>
          <w:color w:val="000000"/>
          <w:kern w:val="0"/>
          <w:szCs w:val="21"/>
        </w:rPr>
        <w:t>007</w:t>
      </w:r>
      <w:r w:rsidRPr="00F84DB1">
        <w:rPr>
          <w:rFonts w:ascii="仿宋" w:eastAsia="仿宋" w:hAnsi="仿宋" w:hint="eastAsia"/>
          <w:color w:val="000000"/>
          <w:kern w:val="0"/>
          <w:szCs w:val="21"/>
        </w:rPr>
        <w:t>年，科学出版社出版</w:t>
      </w:r>
    </w:p>
    <w:p w:rsidR="00B4425D" w:rsidRPr="00F84DB1" w:rsidRDefault="00F84DB1" w:rsidP="00B4425D">
      <w:pPr>
        <w:snapToGrid w:val="0"/>
        <w:spacing w:line="360" w:lineRule="auto"/>
        <w:ind w:firstLineChars="196" w:firstLine="412"/>
        <w:rPr>
          <w:rFonts w:ascii="仿宋" w:eastAsia="仿宋" w:hAnsi="仿宋"/>
          <w:color w:val="000000"/>
          <w:kern w:val="0"/>
          <w:szCs w:val="21"/>
        </w:rPr>
      </w:pPr>
      <w:r w:rsidRPr="00F84DB1">
        <w:rPr>
          <w:rFonts w:ascii="仿宋" w:eastAsia="仿宋" w:hAnsi="仿宋" w:hint="eastAsia"/>
          <w:color w:val="000000"/>
          <w:kern w:val="0"/>
          <w:szCs w:val="21"/>
        </w:rPr>
        <w:t>科技奖励：</w:t>
      </w:r>
      <w:r w:rsidR="00B4425D" w:rsidRPr="00F84DB1">
        <w:rPr>
          <w:rFonts w:ascii="仿宋" w:eastAsia="仿宋" w:hAnsi="仿宋"/>
          <w:color w:val="000000"/>
          <w:kern w:val="0"/>
          <w:szCs w:val="21"/>
        </w:rPr>
        <w:t xml:space="preserve">孔英;隋琳琳; 谢云鹏; </w:t>
      </w:r>
      <w:r w:rsidRPr="00F84DB1">
        <w:rPr>
          <w:rFonts w:ascii="仿宋" w:eastAsia="仿宋" w:hAnsi="仿宋" w:hint="eastAsia"/>
          <w:color w:val="000000"/>
          <w:kern w:val="0"/>
          <w:szCs w:val="21"/>
        </w:rPr>
        <w:t>燕秋；邵小光；</w:t>
      </w:r>
      <w:r w:rsidR="00B4425D" w:rsidRPr="00F84DB1">
        <w:rPr>
          <w:rFonts w:ascii="仿宋" w:eastAsia="仿宋" w:hAnsi="仿宋"/>
          <w:color w:val="000000"/>
          <w:kern w:val="0"/>
          <w:szCs w:val="21"/>
        </w:rPr>
        <w:t>孔力; 樊建慧; 徐跃飞</w:t>
      </w:r>
      <w:r w:rsidRPr="00F84DB1">
        <w:rPr>
          <w:rFonts w:ascii="仿宋" w:eastAsia="仿宋" w:hAnsi="仿宋" w:hint="eastAsia"/>
          <w:color w:val="000000"/>
          <w:kern w:val="0"/>
          <w:szCs w:val="21"/>
        </w:rPr>
        <w:t>；</w:t>
      </w:r>
      <w:r w:rsidRPr="00F84DB1">
        <w:rPr>
          <w:rFonts w:ascii="仿宋" w:eastAsia="仿宋" w:hAnsi="仿宋"/>
          <w:color w:val="000000"/>
          <w:kern w:val="0"/>
          <w:szCs w:val="21"/>
        </w:rPr>
        <w:t>董明</w:t>
      </w:r>
      <w:r>
        <w:rPr>
          <w:rFonts w:ascii="仿宋" w:eastAsia="仿宋" w:hAnsi="仿宋" w:hint="eastAsia"/>
          <w:color w:val="000000"/>
          <w:kern w:val="0"/>
          <w:szCs w:val="21"/>
        </w:rPr>
        <w:t>；</w:t>
      </w:r>
      <w:r w:rsidRPr="00F84DB1">
        <w:rPr>
          <w:rFonts w:ascii="仿宋" w:eastAsia="仿宋" w:hAnsi="仿宋"/>
          <w:color w:val="000000"/>
          <w:kern w:val="0"/>
          <w:szCs w:val="21"/>
        </w:rPr>
        <w:t>严</w:t>
      </w:r>
      <w:r w:rsidRPr="00F84DB1">
        <w:rPr>
          <w:rFonts w:ascii="仿宋" w:eastAsia="仿宋" w:hAnsi="仿宋"/>
          <w:color w:val="000000"/>
          <w:kern w:val="0"/>
          <w:szCs w:val="21"/>
        </w:rPr>
        <w:lastRenderedPageBreak/>
        <w:t>滨</w:t>
      </w:r>
      <w:r>
        <w:rPr>
          <w:rFonts w:ascii="仿宋" w:eastAsia="仿宋" w:hAnsi="仿宋" w:hint="eastAsia"/>
          <w:color w:val="000000"/>
          <w:kern w:val="0"/>
          <w:szCs w:val="21"/>
        </w:rPr>
        <w:t>，</w:t>
      </w:r>
      <w:r w:rsidRPr="00F84DB1">
        <w:rPr>
          <w:rFonts w:ascii="仿宋" w:eastAsia="仿宋" w:hAnsi="仿宋"/>
          <w:color w:val="000000"/>
          <w:kern w:val="0"/>
          <w:szCs w:val="21"/>
        </w:rPr>
        <w:t>蛋白质糖基化修饰在胚胎着床及生殖医学疾病中的作用</w:t>
      </w:r>
      <w:r w:rsidRPr="00F84DB1">
        <w:rPr>
          <w:rFonts w:ascii="仿宋" w:eastAsia="仿宋" w:hAnsi="仿宋" w:hint="eastAsia"/>
          <w:color w:val="000000"/>
          <w:kern w:val="0"/>
          <w:szCs w:val="21"/>
        </w:rPr>
        <w:t>与应用</w:t>
      </w:r>
      <w:r w:rsidR="00B4425D" w:rsidRPr="00F84DB1">
        <w:rPr>
          <w:rFonts w:ascii="仿宋" w:eastAsia="仿宋" w:hAnsi="仿宋"/>
          <w:color w:val="000000"/>
          <w:kern w:val="0"/>
          <w:szCs w:val="21"/>
        </w:rPr>
        <w:t>,</w:t>
      </w:r>
      <w:r w:rsidR="00B4425D" w:rsidRPr="00F84DB1">
        <w:rPr>
          <w:rFonts w:ascii="仿宋" w:eastAsia="仿宋" w:hAnsi="仿宋" w:hint="eastAsia"/>
          <w:color w:val="000000"/>
          <w:kern w:val="0"/>
          <w:szCs w:val="21"/>
        </w:rPr>
        <w:t>辽宁省</w:t>
      </w:r>
      <w:r w:rsidRPr="00F84DB1">
        <w:rPr>
          <w:rFonts w:ascii="仿宋" w:eastAsia="仿宋" w:hAnsi="仿宋" w:hint="eastAsia"/>
          <w:color w:val="000000"/>
          <w:kern w:val="0"/>
          <w:szCs w:val="21"/>
        </w:rPr>
        <w:t>科技进步奖</w:t>
      </w:r>
      <w:r w:rsidR="00B4425D" w:rsidRPr="00F84DB1">
        <w:rPr>
          <w:rFonts w:ascii="仿宋" w:eastAsia="仿宋" w:hAnsi="仿宋" w:hint="eastAsia"/>
          <w:color w:val="000000"/>
          <w:kern w:val="0"/>
          <w:szCs w:val="21"/>
        </w:rPr>
        <w:t>二等奖</w:t>
      </w:r>
      <w:r w:rsidRPr="00F84DB1">
        <w:rPr>
          <w:rFonts w:ascii="仿宋" w:eastAsia="仿宋" w:hAnsi="仿宋"/>
          <w:color w:val="000000"/>
          <w:kern w:val="0"/>
          <w:szCs w:val="21"/>
        </w:rPr>
        <w:t>2020</w:t>
      </w:r>
    </w:p>
    <w:sectPr w:rsidR="00B4425D" w:rsidRPr="00F84DB1" w:rsidSect="00B16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5898" w:rsidRDefault="00E75898" w:rsidP="00C333FD">
      <w:r>
        <w:separator/>
      </w:r>
    </w:p>
  </w:endnote>
  <w:endnote w:type="continuationSeparator" w:id="1">
    <w:p w:rsidR="00E75898" w:rsidRDefault="00E75898" w:rsidP="00C333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华文楷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5898" w:rsidRDefault="00E75898" w:rsidP="00C333FD">
      <w:r>
        <w:separator/>
      </w:r>
    </w:p>
  </w:footnote>
  <w:footnote w:type="continuationSeparator" w:id="1">
    <w:p w:rsidR="00E75898" w:rsidRDefault="00E75898" w:rsidP="00C333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226D03"/>
    <w:multiLevelType w:val="hybridMultilevel"/>
    <w:tmpl w:val="95E29440"/>
    <w:lvl w:ilvl="0" w:tplc="D5EC53AC">
      <w:start w:val="1"/>
      <w:numFmt w:val="decimal"/>
      <w:lvlText w:val="%1."/>
      <w:lvlJc w:val="left"/>
      <w:pPr>
        <w:ind w:left="420" w:hanging="420"/>
      </w:pPr>
      <w:rPr>
        <w:rFonts w:ascii="Times New Roman" w:eastAsia="宋体" w:hAnsi="Times New Roman" w:cs="Times New Roman"/>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13997"/>
    <w:rsid w:val="00013997"/>
    <w:rsid w:val="002D0987"/>
    <w:rsid w:val="003E703A"/>
    <w:rsid w:val="007E2A0E"/>
    <w:rsid w:val="0083042D"/>
    <w:rsid w:val="009213F9"/>
    <w:rsid w:val="009A204E"/>
    <w:rsid w:val="00A325F5"/>
    <w:rsid w:val="00B16D12"/>
    <w:rsid w:val="00B4425D"/>
    <w:rsid w:val="00C333FD"/>
    <w:rsid w:val="00CC3CD2"/>
    <w:rsid w:val="00D12188"/>
    <w:rsid w:val="00D16EC6"/>
    <w:rsid w:val="00E75898"/>
    <w:rsid w:val="00E85C3F"/>
    <w:rsid w:val="00F355A9"/>
    <w:rsid w:val="00F84DB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3FD"/>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333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333FD"/>
    <w:rPr>
      <w:sz w:val="18"/>
      <w:szCs w:val="18"/>
    </w:rPr>
  </w:style>
  <w:style w:type="paragraph" w:styleId="a4">
    <w:name w:val="footer"/>
    <w:basedOn w:val="a"/>
    <w:link w:val="Char0"/>
    <w:uiPriority w:val="99"/>
    <w:unhideWhenUsed/>
    <w:rsid w:val="00C333FD"/>
    <w:pPr>
      <w:tabs>
        <w:tab w:val="center" w:pos="4153"/>
        <w:tab w:val="right" w:pos="8306"/>
      </w:tabs>
      <w:snapToGrid w:val="0"/>
      <w:jc w:val="left"/>
    </w:pPr>
    <w:rPr>
      <w:sz w:val="18"/>
      <w:szCs w:val="18"/>
    </w:rPr>
  </w:style>
  <w:style w:type="character" w:customStyle="1" w:styleId="Char0">
    <w:name w:val="页脚 Char"/>
    <w:basedOn w:val="a0"/>
    <w:link w:val="a4"/>
    <w:uiPriority w:val="99"/>
    <w:rsid w:val="00C333FD"/>
    <w:rPr>
      <w:sz w:val="18"/>
      <w:szCs w:val="18"/>
    </w:rPr>
  </w:style>
  <w:style w:type="character" w:styleId="a5">
    <w:name w:val="annotation reference"/>
    <w:basedOn w:val="a0"/>
    <w:uiPriority w:val="99"/>
    <w:semiHidden/>
    <w:unhideWhenUsed/>
    <w:rsid w:val="00C333FD"/>
    <w:rPr>
      <w:sz w:val="21"/>
      <w:szCs w:val="21"/>
    </w:rPr>
  </w:style>
  <w:style w:type="paragraph" w:styleId="a6">
    <w:name w:val="annotation text"/>
    <w:basedOn w:val="a"/>
    <w:link w:val="Char1"/>
    <w:uiPriority w:val="99"/>
    <w:semiHidden/>
    <w:unhideWhenUsed/>
    <w:rsid w:val="00C333FD"/>
    <w:pPr>
      <w:jc w:val="left"/>
    </w:pPr>
  </w:style>
  <w:style w:type="character" w:customStyle="1" w:styleId="Char1">
    <w:name w:val="批注文字 Char"/>
    <w:basedOn w:val="a0"/>
    <w:link w:val="a6"/>
    <w:uiPriority w:val="99"/>
    <w:semiHidden/>
    <w:rsid w:val="00C333FD"/>
    <w:rPr>
      <w:rFonts w:ascii="Times New Roman" w:eastAsia="宋体" w:hAnsi="Times New Roman" w:cs="Times New Roman"/>
      <w:szCs w:val="20"/>
    </w:rPr>
  </w:style>
  <w:style w:type="paragraph" w:styleId="a7">
    <w:name w:val="List Paragraph"/>
    <w:basedOn w:val="a"/>
    <w:uiPriority w:val="34"/>
    <w:qFormat/>
    <w:rsid w:val="00B4425D"/>
    <w:pPr>
      <w:ind w:firstLineChars="200" w:firstLine="420"/>
    </w:pPr>
    <w:rPr>
      <w:szCs w:val="21"/>
    </w:rPr>
  </w:style>
  <w:style w:type="character" w:customStyle="1" w:styleId="fontstyle01">
    <w:name w:val="fontstyle01"/>
    <w:rsid w:val="00E85C3F"/>
    <w:rPr>
      <w:rFonts w:ascii="华文楷体" w:eastAsia="华文楷体" w:hAnsi="华文楷体" w:hint="eastAsia"/>
      <w:b w:val="0"/>
      <w:bCs w:val="0"/>
      <w:i w:val="0"/>
      <w:iCs w:val="0"/>
      <w:color w:val="000000"/>
      <w:sz w:val="24"/>
      <w:szCs w:val="24"/>
    </w:rPr>
  </w:style>
  <w:style w:type="paragraph" w:customStyle="1" w:styleId="TableParagraph">
    <w:name w:val="Table Paragraph"/>
    <w:basedOn w:val="a"/>
    <w:uiPriority w:val="1"/>
    <w:qFormat/>
    <w:rsid w:val="00E85C3F"/>
    <w:pPr>
      <w:autoSpaceDE w:val="0"/>
      <w:autoSpaceDN w:val="0"/>
      <w:jc w:val="left"/>
    </w:pPr>
    <w:rPr>
      <w:rFonts w:ascii="宋体" w:hAnsi="宋体" w:cs="宋体"/>
      <w:kern w:val="0"/>
      <w:sz w:val="22"/>
      <w:szCs w:val="22"/>
      <w:lang w:val="zh-CN" w:bidi="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788</Words>
  <Characters>4492</Characters>
  <Application>Microsoft Office Word</Application>
  <DocSecurity>0</DocSecurity>
  <Lines>37</Lines>
  <Paragraphs>10</Paragraphs>
  <ScaleCrop>false</ScaleCrop>
  <Company/>
  <LinksUpToDate>false</LinksUpToDate>
  <CharactersWithSpaces>5270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dc:creator>
  <cp:lastModifiedBy>Administrator</cp:lastModifiedBy>
  <cp:revision>2</cp:revision>
  <dcterms:created xsi:type="dcterms:W3CDTF">2022-04-15T07:52:00Z</dcterms:created>
  <dcterms:modified xsi:type="dcterms:W3CDTF">2022-04-15T07:52:00Z</dcterms:modified>
</cp:coreProperties>
</file>