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9F24" w14:textId="77777777" w:rsidR="005A787A" w:rsidRDefault="005A787A">
      <w:pPr>
        <w:adjustRightInd w:val="0"/>
        <w:snapToGrid w:val="0"/>
        <w:spacing w:line="500" w:lineRule="exact"/>
        <w:jc w:val="center"/>
        <w:rPr>
          <w:rFonts w:ascii="宋体" w:hAnsi="宋体"/>
          <w:b/>
          <w:bCs/>
          <w:color w:val="000000"/>
          <w:sz w:val="36"/>
          <w:szCs w:val="36"/>
        </w:rPr>
      </w:pPr>
      <w:r>
        <w:rPr>
          <w:rFonts w:ascii="宋体" w:hAnsi="宋体" w:hint="eastAsia"/>
          <w:b/>
          <w:bCs/>
          <w:color w:val="000000"/>
          <w:sz w:val="36"/>
          <w:szCs w:val="36"/>
        </w:rPr>
        <w:t>申报</w:t>
      </w:r>
      <w:r>
        <w:rPr>
          <w:rFonts w:ascii="宋体" w:hAnsi="宋体"/>
          <w:b/>
          <w:bCs/>
          <w:color w:val="000000"/>
          <w:sz w:val="36"/>
          <w:szCs w:val="36"/>
        </w:rPr>
        <w:t>华夏医学科技奖项目公示</w:t>
      </w:r>
    </w:p>
    <w:tbl>
      <w:tblPr>
        <w:tblW w:w="861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633"/>
      </w:tblGrid>
      <w:tr w:rsidR="005A787A" w:rsidRPr="005A787A" w14:paraId="32EB2F26" w14:textId="77777777" w:rsidTr="005A787A">
        <w:tc>
          <w:tcPr>
            <w:tcW w:w="1980" w:type="dxa"/>
            <w:shd w:val="clear" w:color="auto" w:fill="auto"/>
          </w:tcPr>
          <w:p w14:paraId="3774FC99" w14:textId="77777777" w:rsidR="005A787A" w:rsidRPr="005A787A" w:rsidRDefault="005A787A" w:rsidP="005A787A">
            <w:pPr>
              <w:adjustRightInd w:val="0"/>
              <w:snapToGrid w:val="0"/>
              <w:spacing w:line="500" w:lineRule="exact"/>
              <w:jc w:val="center"/>
              <w:rPr>
                <w:rFonts w:ascii="仿宋" w:eastAsia="仿宋" w:hAnsi="仿宋"/>
                <w:b/>
                <w:color w:val="000000"/>
                <w:kern w:val="0"/>
                <w:sz w:val="28"/>
                <w:szCs w:val="28"/>
              </w:rPr>
            </w:pPr>
            <w:r w:rsidRPr="005A787A">
              <w:rPr>
                <w:rFonts w:ascii="仿宋" w:eastAsia="仿宋" w:hAnsi="仿宋"/>
                <w:b/>
                <w:color w:val="000000"/>
                <w:kern w:val="0"/>
                <w:sz w:val="28"/>
                <w:szCs w:val="28"/>
              </w:rPr>
              <w:t>项目名称</w:t>
            </w:r>
          </w:p>
        </w:tc>
        <w:tc>
          <w:tcPr>
            <w:tcW w:w="6633" w:type="dxa"/>
            <w:shd w:val="clear" w:color="auto" w:fill="auto"/>
          </w:tcPr>
          <w:p w14:paraId="1E0B4F3A" w14:textId="77777777" w:rsidR="005A787A" w:rsidRPr="005A787A" w:rsidRDefault="00963EF8" w:rsidP="005A787A">
            <w:pPr>
              <w:adjustRightInd w:val="0"/>
              <w:snapToGrid w:val="0"/>
              <w:spacing w:line="500" w:lineRule="exact"/>
              <w:rPr>
                <w:rFonts w:ascii="仿宋" w:eastAsia="仿宋" w:hAnsi="仿宋"/>
                <w:b/>
                <w:color w:val="000000"/>
                <w:kern w:val="0"/>
                <w:sz w:val="28"/>
                <w:szCs w:val="28"/>
              </w:rPr>
            </w:pPr>
            <w:r w:rsidRPr="005A787A">
              <w:rPr>
                <w:rFonts w:ascii="仿宋" w:eastAsia="仿宋" w:hAnsi="仿宋" w:hint="eastAsia"/>
                <w:color w:val="000000"/>
                <w:kern w:val="0"/>
                <w:sz w:val="28"/>
                <w:szCs w:val="28"/>
              </w:rPr>
              <w:t>水通道蛋白在前列腺癌中的作用机制</w:t>
            </w:r>
          </w:p>
        </w:tc>
      </w:tr>
      <w:tr w:rsidR="005A787A" w:rsidRPr="005A787A" w14:paraId="0674C136" w14:textId="77777777" w:rsidTr="005A787A">
        <w:tc>
          <w:tcPr>
            <w:tcW w:w="1980" w:type="dxa"/>
            <w:shd w:val="clear" w:color="auto" w:fill="auto"/>
          </w:tcPr>
          <w:p w14:paraId="037C9ECC" w14:textId="77777777" w:rsidR="005A787A" w:rsidRPr="005A787A" w:rsidRDefault="005A787A" w:rsidP="005A787A">
            <w:pPr>
              <w:adjustRightInd w:val="0"/>
              <w:snapToGrid w:val="0"/>
              <w:spacing w:line="500" w:lineRule="exact"/>
              <w:jc w:val="center"/>
              <w:rPr>
                <w:rFonts w:ascii="仿宋" w:eastAsia="仿宋" w:hAnsi="仿宋"/>
                <w:b/>
                <w:color w:val="000000"/>
                <w:kern w:val="0"/>
                <w:sz w:val="28"/>
                <w:szCs w:val="28"/>
              </w:rPr>
            </w:pPr>
            <w:r w:rsidRPr="005A787A">
              <w:rPr>
                <w:rFonts w:ascii="仿宋" w:eastAsia="仿宋" w:hAnsi="仿宋" w:hint="eastAsia"/>
                <w:b/>
                <w:color w:val="000000"/>
                <w:kern w:val="0"/>
                <w:sz w:val="28"/>
                <w:szCs w:val="28"/>
              </w:rPr>
              <w:t>申报奖项类别</w:t>
            </w:r>
          </w:p>
        </w:tc>
        <w:tc>
          <w:tcPr>
            <w:tcW w:w="6633" w:type="dxa"/>
            <w:shd w:val="clear" w:color="auto" w:fill="auto"/>
          </w:tcPr>
          <w:p w14:paraId="5EE4B15A" w14:textId="77777777" w:rsidR="005A787A" w:rsidRPr="005A787A" w:rsidRDefault="00963EF8" w:rsidP="005A787A">
            <w:pPr>
              <w:adjustRightInd w:val="0"/>
              <w:snapToGrid w:val="0"/>
              <w:spacing w:line="500" w:lineRule="exact"/>
              <w:ind w:firstLineChars="400" w:firstLine="1120"/>
              <w:rPr>
                <w:rFonts w:ascii="仿宋" w:eastAsia="仿宋" w:hAnsi="仿宋"/>
                <w:b/>
                <w:color w:val="000000"/>
                <w:kern w:val="0"/>
                <w:sz w:val="28"/>
                <w:szCs w:val="28"/>
              </w:rPr>
            </w:pPr>
            <w:r w:rsidRPr="005A787A">
              <w:rPr>
                <w:rFonts w:ascii="仿宋" w:eastAsia="仿宋" w:hAnsi="仿宋" w:hint="eastAsia"/>
                <w:color w:val="000000"/>
                <w:kern w:val="0"/>
                <w:sz w:val="28"/>
                <w:szCs w:val="28"/>
              </w:rPr>
              <w:t>华夏医学</w:t>
            </w:r>
            <w:r w:rsidR="005A787A" w:rsidRPr="005A787A">
              <w:rPr>
                <w:rFonts w:ascii="仿宋" w:eastAsia="仿宋" w:hAnsi="仿宋" w:hint="eastAsia"/>
                <w:color w:val="000000"/>
                <w:kern w:val="0"/>
                <w:sz w:val="28"/>
                <w:szCs w:val="28"/>
              </w:rPr>
              <w:t>科学技术</w:t>
            </w:r>
            <w:r w:rsidRPr="005A787A">
              <w:rPr>
                <w:rFonts w:ascii="仿宋" w:eastAsia="仿宋" w:hAnsi="仿宋" w:hint="eastAsia"/>
                <w:color w:val="000000"/>
                <w:kern w:val="0"/>
                <w:sz w:val="28"/>
                <w:szCs w:val="28"/>
              </w:rPr>
              <w:t>进步</w:t>
            </w:r>
            <w:r w:rsidR="005A787A" w:rsidRPr="005A787A">
              <w:rPr>
                <w:rFonts w:ascii="仿宋" w:eastAsia="仿宋" w:hAnsi="仿宋" w:hint="eastAsia"/>
                <w:color w:val="000000"/>
                <w:kern w:val="0"/>
                <w:sz w:val="28"/>
                <w:szCs w:val="28"/>
              </w:rPr>
              <w:t>奖</w:t>
            </w:r>
          </w:p>
        </w:tc>
      </w:tr>
      <w:tr w:rsidR="005A787A" w:rsidRPr="005A787A" w14:paraId="662E8592" w14:textId="77777777" w:rsidTr="005A787A">
        <w:tc>
          <w:tcPr>
            <w:tcW w:w="1980" w:type="dxa"/>
            <w:shd w:val="clear" w:color="auto" w:fill="auto"/>
          </w:tcPr>
          <w:p w14:paraId="4824DD3A" w14:textId="77777777" w:rsidR="005A787A" w:rsidRPr="005A787A" w:rsidRDefault="005A787A" w:rsidP="005A787A">
            <w:pPr>
              <w:adjustRightInd w:val="0"/>
              <w:snapToGrid w:val="0"/>
              <w:spacing w:line="500" w:lineRule="exact"/>
              <w:jc w:val="center"/>
              <w:rPr>
                <w:rFonts w:ascii="仿宋" w:eastAsia="仿宋" w:hAnsi="仿宋"/>
                <w:b/>
                <w:color w:val="000000"/>
                <w:kern w:val="0"/>
                <w:sz w:val="28"/>
                <w:szCs w:val="28"/>
              </w:rPr>
            </w:pPr>
            <w:r w:rsidRPr="005A787A">
              <w:rPr>
                <w:rFonts w:ascii="仿宋" w:eastAsia="仿宋" w:hAnsi="仿宋" w:hint="eastAsia"/>
                <w:b/>
                <w:color w:val="000000"/>
                <w:kern w:val="0"/>
                <w:sz w:val="28"/>
                <w:szCs w:val="28"/>
              </w:rPr>
              <w:t>主要</w:t>
            </w:r>
            <w:r w:rsidRPr="005A787A">
              <w:rPr>
                <w:rFonts w:ascii="仿宋" w:eastAsia="仿宋" w:hAnsi="仿宋"/>
                <w:b/>
                <w:color w:val="000000"/>
                <w:kern w:val="0"/>
                <w:sz w:val="28"/>
                <w:szCs w:val="28"/>
              </w:rPr>
              <w:t>完成单位（含排序）</w:t>
            </w:r>
          </w:p>
        </w:tc>
        <w:tc>
          <w:tcPr>
            <w:tcW w:w="6633" w:type="dxa"/>
            <w:shd w:val="clear" w:color="auto" w:fill="auto"/>
          </w:tcPr>
          <w:p w14:paraId="4947E525" w14:textId="77777777" w:rsidR="005A787A" w:rsidRPr="005A787A" w:rsidRDefault="005A787A" w:rsidP="005A787A">
            <w:pPr>
              <w:adjustRightInd w:val="0"/>
              <w:snapToGrid w:val="0"/>
              <w:spacing w:line="500" w:lineRule="exact"/>
              <w:rPr>
                <w:rFonts w:ascii="仿宋" w:eastAsia="仿宋" w:hAnsi="仿宋"/>
                <w:color w:val="000000"/>
                <w:kern w:val="0"/>
                <w:sz w:val="28"/>
                <w:szCs w:val="28"/>
              </w:rPr>
            </w:pPr>
            <w:r w:rsidRPr="005A787A">
              <w:rPr>
                <w:rFonts w:ascii="仿宋" w:eastAsia="仿宋" w:hAnsi="仿宋" w:hint="eastAsia"/>
                <w:color w:val="000000"/>
                <w:kern w:val="0"/>
                <w:sz w:val="28"/>
                <w:szCs w:val="28"/>
              </w:rPr>
              <w:t>大连</w:t>
            </w:r>
            <w:r w:rsidRPr="005A787A">
              <w:rPr>
                <w:rFonts w:ascii="仿宋" w:eastAsia="仿宋" w:hAnsi="仿宋"/>
                <w:color w:val="000000"/>
                <w:kern w:val="0"/>
                <w:sz w:val="28"/>
                <w:szCs w:val="28"/>
              </w:rPr>
              <w:t>医科大学附属第一医院、</w:t>
            </w:r>
            <w:r w:rsidR="00963EF8" w:rsidRPr="005A787A">
              <w:rPr>
                <w:rFonts w:ascii="仿宋" w:eastAsia="仿宋" w:hAnsi="仿宋" w:hint="eastAsia"/>
                <w:color w:val="000000"/>
                <w:kern w:val="0"/>
                <w:sz w:val="28"/>
                <w:szCs w:val="28"/>
              </w:rPr>
              <w:t>大连医科大学</w:t>
            </w:r>
          </w:p>
        </w:tc>
      </w:tr>
      <w:tr w:rsidR="005A787A" w:rsidRPr="005A787A" w14:paraId="185C8DCB" w14:textId="77777777" w:rsidTr="005A787A">
        <w:tc>
          <w:tcPr>
            <w:tcW w:w="1980" w:type="dxa"/>
            <w:shd w:val="clear" w:color="auto" w:fill="auto"/>
          </w:tcPr>
          <w:p w14:paraId="21C716AC" w14:textId="77777777" w:rsidR="005A787A" w:rsidRPr="005A787A" w:rsidRDefault="005A787A" w:rsidP="005A787A">
            <w:pPr>
              <w:adjustRightInd w:val="0"/>
              <w:snapToGrid w:val="0"/>
              <w:spacing w:line="500" w:lineRule="exact"/>
              <w:jc w:val="center"/>
              <w:rPr>
                <w:rFonts w:ascii="仿宋" w:eastAsia="仿宋" w:hAnsi="仿宋"/>
                <w:b/>
                <w:color w:val="000000"/>
                <w:kern w:val="0"/>
                <w:sz w:val="28"/>
                <w:szCs w:val="28"/>
              </w:rPr>
            </w:pPr>
            <w:r w:rsidRPr="005A787A">
              <w:rPr>
                <w:rFonts w:ascii="仿宋" w:eastAsia="仿宋" w:hAnsi="仿宋" w:hint="eastAsia"/>
                <w:b/>
                <w:color w:val="000000"/>
                <w:kern w:val="0"/>
                <w:sz w:val="28"/>
                <w:szCs w:val="28"/>
              </w:rPr>
              <w:t>主要</w:t>
            </w:r>
            <w:r w:rsidRPr="005A787A">
              <w:rPr>
                <w:rFonts w:ascii="仿宋" w:eastAsia="仿宋" w:hAnsi="仿宋"/>
                <w:b/>
                <w:color w:val="000000"/>
                <w:kern w:val="0"/>
                <w:sz w:val="28"/>
                <w:szCs w:val="28"/>
              </w:rPr>
              <w:t>完成人（含排序）</w:t>
            </w:r>
          </w:p>
        </w:tc>
        <w:tc>
          <w:tcPr>
            <w:tcW w:w="6633" w:type="dxa"/>
            <w:shd w:val="clear" w:color="auto" w:fill="auto"/>
          </w:tcPr>
          <w:p w14:paraId="6DBD75C9" w14:textId="77777777" w:rsidR="005A787A" w:rsidRPr="005A787A" w:rsidRDefault="00963EF8" w:rsidP="005A787A">
            <w:pPr>
              <w:adjustRightInd w:val="0"/>
              <w:snapToGrid w:val="0"/>
              <w:spacing w:line="500" w:lineRule="exact"/>
              <w:rPr>
                <w:rFonts w:ascii="仿宋" w:eastAsia="仿宋" w:hAnsi="仿宋"/>
                <w:b/>
                <w:color w:val="000000"/>
                <w:kern w:val="0"/>
                <w:sz w:val="28"/>
                <w:szCs w:val="28"/>
              </w:rPr>
            </w:pPr>
            <w:proofErr w:type="gramStart"/>
            <w:r w:rsidRPr="005A787A">
              <w:rPr>
                <w:rFonts w:ascii="仿宋" w:eastAsia="仿宋" w:hAnsi="仿宋" w:hint="eastAsia"/>
                <w:color w:val="000000"/>
                <w:kern w:val="0"/>
                <w:sz w:val="28"/>
                <w:szCs w:val="28"/>
              </w:rPr>
              <w:t>王建伯</w:t>
            </w:r>
            <w:proofErr w:type="gramEnd"/>
            <w:r w:rsidRPr="005A787A">
              <w:rPr>
                <w:rFonts w:ascii="仿宋" w:eastAsia="仿宋" w:hAnsi="仿宋" w:hint="eastAsia"/>
                <w:color w:val="000000"/>
                <w:kern w:val="0"/>
                <w:sz w:val="28"/>
                <w:szCs w:val="28"/>
              </w:rPr>
              <w:t>,  陈奇伟,  朱亮,  杨德勇,  王雪剑,  王丽娜</w:t>
            </w:r>
          </w:p>
        </w:tc>
      </w:tr>
      <w:tr w:rsidR="005A787A" w:rsidRPr="005A787A" w14:paraId="64177B01" w14:textId="77777777" w:rsidTr="005A787A">
        <w:tc>
          <w:tcPr>
            <w:tcW w:w="8613" w:type="dxa"/>
            <w:gridSpan w:val="2"/>
            <w:shd w:val="clear" w:color="auto" w:fill="auto"/>
          </w:tcPr>
          <w:p w14:paraId="31B85C45" w14:textId="77777777" w:rsidR="005A787A" w:rsidRPr="005A787A" w:rsidRDefault="005A787A" w:rsidP="005A787A">
            <w:pPr>
              <w:adjustRightInd w:val="0"/>
              <w:snapToGrid w:val="0"/>
              <w:spacing w:line="500" w:lineRule="exact"/>
              <w:rPr>
                <w:rFonts w:ascii="仿宋" w:eastAsia="仿宋" w:hAnsi="仿宋"/>
                <w:b/>
                <w:color w:val="000000"/>
                <w:kern w:val="0"/>
                <w:sz w:val="28"/>
                <w:szCs w:val="28"/>
              </w:rPr>
            </w:pPr>
            <w:r w:rsidRPr="005A787A">
              <w:rPr>
                <w:rFonts w:ascii="仿宋" w:eastAsia="仿宋" w:hAnsi="仿宋"/>
                <w:b/>
                <w:color w:val="000000"/>
                <w:kern w:val="0"/>
                <w:sz w:val="28"/>
                <w:szCs w:val="28"/>
              </w:rPr>
              <w:t>项目简介：</w:t>
            </w:r>
          </w:p>
          <w:p w14:paraId="08B88D66" w14:textId="77777777" w:rsidR="00963EF8" w:rsidRPr="005A787A" w:rsidRDefault="00963EF8" w:rsidP="005A787A">
            <w:pPr>
              <w:pStyle w:val="a8"/>
              <w:shd w:val="clear" w:color="auto" w:fill="FFFFFF"/>
              <w:spacing w:before="0" w:beforeAutospacing="0" w:after="0" w:afterAutospacing="0"/>
              <w:ind w:firstLineChars="200" w:firstLine="560"/>
              <w:rPr>
                <w:rFonts w:ascii="仿宋" w:eastAsia="仿宋" w:hAnsi="仿宋" w:cs="Helvetica"/>
                <w:color w:val="000000"/>
                <w:sz w:val="28"/>
                <w:szCs w:val="28"/>
              </w:rPr>
            </w:pPr>
            <w:r w:rsidRPr="005A787A">
              <w:rPr>
                <w:rFonts w:ascii="仿宋" w:eastAsia="仿宋" w:hAnsi="仿宋" w:cs="Helvetica"/>
                <w:color w:val="000000"/>
                <w:sz w:val="28"/>
                <w:szCs w:val="28"/>
              </w:rPr>
              <w:t>前列腺癌是男性生殖系统最常见的恶性肿瘤，近年由于我国人口老龄化，其发病率随年龄而增长。研究表明约54%前列腺癌患者在初诊时已经发生转移，且其5年生存率降至30%，失去手术机会。目前手术、放疗、化疗和内分泌治疗是前列腺癌的主要治疗手段，但对于晚期转移及去势抵抗性前列腺癌治疗效果较差。因此探索前列腺癌新的治疗技术具有重要意义，是临床亟需解决的重大课题。</w:t>
            </w:r>
          </w:p>
          <w:p w14:paraId="2B153CBA" w14:textId="77777777" w:rsidR="00963EF8" w:rsidRPr="005A787A" w:rsidRDefault="00963EF8" w:rsidP="00470D43">
            <w:pPr>
              <w:pStyle w:val="a8"/>
              <w:shd w:val="clear" w:color="auto" w:fill="FFFFFF"/>
              <w:spacing w:before="0" w:beforeAutospacing="0" w:after="0" w:afterAutospacing="0"/>
              <w:ind w:firstLineChars="200" w:firstLine="560"/>
              <w:rPr>
                <w:rFonts w:ascii="仿宋" w:eastAsia="仿宋" w:hAnsi="仿宋" w:cs="Helvetica"/>
                <w:color w:val="000000"/>
                <w:sz w:val="28"/>
                <w:szCs w:val="28"/>
              </w:rPr>
            </w:pPr>
            <w:r w:rsidRPr="005A787A">
              <w:rPr>
                <w:rFonts w:ascii="仿宋" w:eastAsia="仿宋" w:hAnsi="仿宋" w:cs="Helvetica"/>
                <w:color w:val="000000"/>
                <w:sz w:val="28"/>
                <w:szCs w:val="28"/>
              </w:rPr>
              <w:t>关于前列腺癌基因水平的研究目前已有很大进展，有研究证实前列腺癌中广泛</w:t>
            </w:r>
            <w:proofErr w:type="gramStart"/>
            <w:r w:rsidRPr="005A787A">
              <w:rPr>
                <w:rFonts w:ascii="仿宋" w:eastAsia="仿宋" w:hAnsi="仿宋" w:cs="Helvetica"/>
                <w:color w:val="000000"/>
                <w:sz w:val="28"/>
                <w:szCs w:val="28"/>
              </w:rPr>
              <w:t>表达水</w:t>
            </w:r>
            <w:proofErr w:type="gramEnd"/>
            <w:r w:rsidRPr="005A787A">
              <w:rPr>
                <w:rFonts w:ascii="仿宋" w:eastAsia="仿宋" w:hAnsi="仿宋" w:cs="Helvetica"/>
                <w:color w:val="000000"/>
                <w:sz w:val="28"/>
                <w:szCs w:val="28"/>
              </w:rPr>
              <w:t>通道蛋白。水通道蛋白（Aquaporin, AQP）是一组孔形内在蛋白家族，从功能上可以把AQP分为两大类，一类是水专一性通道蛋白，包括AQP0、AQP1、AQP2、AQP4、AQP5、AQP6、AQP8；一类是水甘油通道蛋白，包括AQP3、AQP7、AQP9、AQP10。人类多种肿瘤广泛</w:t>
            </w:r>
            <w:proofErr w:type="gramStart"/>
            <w:r w:rsidRPr="005A787A">
              <w:rPr>
                <w:rFonts w:ascii="仿宋" w:eastAsia="仿宋" w:hAnsi="仿宋" w:cs="Helvetica"/>
                <w:color w:val="000000"/>
                <w:sz w:val="28"/>
                <w:szCs w:val="28"/>
              </w:rPr>
              <w:t>表达水</w:t>
            </w:r>
            <w:proofErr w:type="gramEnd"/>
            <w:r w:rsidRPr="005A787A">
              <w:rPr>
                <w:rFonts w:ascii="仿宋" w:eastAsia="仿宋" w:hAnsi="仿宋" w:cs="Helvetica"/>
                <w:color w:val="000000"/>
                <w:sz w:val="28"/>
                <w:szCs w:val="28"/>
              </w:rPr>
              <w:t>通道蛋白，包括胃肠道肿瘤、睾丸肿瘤、皮肤癌、前列腺癌等，</w:t>
            </w:r>
            <w:proofErr w:type="gramStart"/>
            <w:r w:rsidRPr="005A787A">
              <w:rPr>
                <w:rFonts w:ascii="仿宋" w:eastAsia="仿宋" w:hAnsi="仿宋" w:cs="Helvetica"/>
                <w:color w:val="000000"/>
                <w:sz w:val="28"/>
                <w:szCs w:val="28"/>
              </w:rPr>
              <w:t>且多种</w:t>
            </w:r>
            <w:proofErr w:type="gramEnd"/>
            <w:r w:rsidRPr="005A787A">
              <w:rPr>
                <w:rFonts w:ascii="仿宋" w:eastAsia="仿宋" w:hAnsi="仿宋" w:cs="Helvetica"/>
                <w:color w:val="000000"/>
                <w:sz w:val="28"/>
                <w:szCs w:val="28"/>
              </w:rPr>
              <w:t>水通道蛋白在肿瘤及癌</w:t>
            </w:r>
            <w:proofErr w:type="gramStart"/>
            <w:r w:rsidRPr="005A787A">
              <w:rPr>
                <w:rFonts w:ascii="仿宋" w:eastAsia="仿宋" w:hAnsi="仿宋" w:cs="Helvetica"/>
                <w:color w:val="000000"/>
                <w:sz w:val="28"/>
                <w:szCs w:val="28"/>
              </w:rPr>
              <w:t>旁组织</w:t>
            </w:r>
            <w:proofErr w:type="gramEnd"/>
            <w:r w:rsidRPr="005A787A">
              <w:rPr>
                <w:rFonts w:ascii="仿宋" w:eastAsia="仿宋" w:hAnsi="仿宋" w:cs="Helvetica"/>
                <w:color w:val="000000"/>
                <w:sz w:val="28"/>
                <w:szCs w:val="28"/>
              </w:rPr>
              <w:t>中表达存在明显差异，下游可以激活PI3K/Akt,ERK,HIF-1α/VEGF等信号通路，影响肿瘤细胞的恶性行为，影响肿瘤患者的预后。</w:t>
            </w:r>
          </w:p>
          <w:p w14:paraId="68C767A9" w14:textId="77777777" w:rsidR="00963EF8" w:rsidRPr="005A787A" w:rsidRDefault="00963EF8" w:rsidP="005A787A">
            <w:pPr>
              <w:pStyle w:val="a8"/>
              <w:shd w:val="clear" w:color="auto" w:fill="FFFFFF"/>
              <w:spacing w:before="0" w:beforeAutospacing="0" w:after="0" w:afterAutospacing="0"/>
              <w:ind w:firstLineChars="200" w:firstLine="560"/>
              <w:rPr>
                <w:rFonts w:ascii="仿宋" w:eastAsia="仿宋" w:hAnsi="仿宋" w:cs="Helvetica"/>
                <w:color w:val="000000"/>
                <w:sz w:val="28"/>
                <w:szCs w:val="28"/>
              </w:rPr>
            </w:pPr>
            <w:r w:rsidRPr="005A787A">
              <w:rPr>
                <w:rFonts w:ascii="仿宋" w:eastAsia="仿宋" w:hAnsi="仿宋" w:cs="Helvetica"/>
                <w:color w:val="000000"/>
                <w:sz w:val="28"/>
                <w:szCs w:val="28"/>
              </w:rPr>
              <w:lastRenderedPageBreak/>
              <w:t>申请人前期通过免疫组化证实在前列腺组织中AQP3主要表达在细胞膜，而前列腺癌中AQP3主要表达在细胞质。并进一步通过慢病毒转染敲除、过表达等技术，结合通路激动剂，证实在前列腺癌中通过cAMP/PKA/</w:t>
            </w:r>
            <w:proofErr w:type="spellStart"/>
            <w:r w:rsidRPr="005A787A">
              <w:rPr>
                <w:rFonts w:ascii="仿宋" w:eastAsia="仿宋" w:hAnsi="仿宋" w:cs="Helvetica"/>
                <w:color w:val="000000"/>
                <w:sz w:val="28"/>
                <w:szCs w:val="28"/>
              </w:rPr>
              <w:t>RalA</w:t>
            </w:r>
            <w:proofErr w:type="spellEnd"/>
            <w:r w:rsidRPr="005A787A">
              <w:rPr>
                <w:rFonts w:ascii="仿宋" w:eastAsia="仿宋" w:hAnsi="仿宋" w:cs="Helvetica"/>
                <w:color w:val="000000"/>
                <w:sz w:val="28"/>
                <w:szCs w:val="28"/>
              </w:rPr>
              <w:t>通路调控AQP3亚细胞位置；同时通过平板克隆、MTT、TUNEL、DNA Ladder、细胞周期、划痕、迁移及侵袭等功能实验证实AQP3亚细胞位置的改变对前列腺癌增殖、凋亡、迁移、侵袭等产生明显影响，揭示了AQP3在正常与癌变组织中亚细胞位置变化的分子机制，为新的治疗方法提供了理论依据。</w:t>
            </w:r>
          </w:p>
          <w:p w14:paraId="44E0B229" w14:textId="77777777" w:rsidR="00963EF8" w:rsidRPr="005A787A" w:rsidRDefault="00963EF8" w:rsidP="00470D43">
            <w:pPr>
              <w:pStyle w:val="a8"/>
              <w:shd w:val="clear" w:color="auto" w:fill="FFFFFF"/>
              <w:spacing w:before="0" w:beforeAutospacing="0" w:after="0" w:afterAutospacing="0"/>
              <w:ind w:firstLineChars="200" w:firstLine="560"/>
              <w:rPr>
                <w:rFonts w:ascii="仿宋" w:eastAsia="仿宋" w:hAnsi="仿宋" w:cs="Helvetica"/>
                <w:color w:val="000000"/>
                <w:sz w:val="28"/>
                <w:szCs w:val="28"/>
              </w:rPr>
            </w:pPr>
            <w:r w:rsidRPr="005A787A">
              <w:rPr>
                <w:rFonts w:ascii="仿宋" w:eastAsia="仿宋" w:hAnsi="仿宋" w:cs="Helvetica"/>
                <w:color w:val="000000"/>
                <w:sz w:val="28"/>
                <w:szCs w:val="28"/>
              </w:rPr>
              <w:t>基于临床治疗实际需求，我们进一步利用去势抵抗型前列腺癌细胞系进行后续实验，发现该类型前列腺癌细胞中AQP9高表达。申请人首先采用AQP9-siRNA</w:t>
            </w:r>
            <w:proofErr w:type="gramStart"/>
            <w:r w:rsidRPr="005A787A">
              <w:rPr>
                <w:rFonts w:ascii="仿宋" w:eastAsia="仿宋" w:hAnsi="仿宋" w:cs="Helvetica"/>
                <w:color w:val="000000"/>
                <w:sz w:val="28"/>
                <w:szCs w:val="28"/>
              </w:rPr>
              <w:t>敲低</w:t>
            </w:r>
            <w:proofErr w:type="gramEnd"/>
            <w:r w:rsidRPr="005A787A">
              <w:rPr>
                <w:rFonts w:ascii="仿宋" w:eastAsia="仿宋" w:hAnsi="仿宋" w:cs="Helvetica"/>
                <w:color w:val="000000"/>
                <w:sz w:val="28"/>
                <w:szCs w:val="28"/>
              </w:rPr>
              <w:t>AQP9，然后进一步通过增殖、凋亡、迁移、侵袭等功能学实验证实AQP9促进去势抵抗型前列腺癌恶性生物学行为，并且由ERK通路调控，为晚期前列腺癌的治疗提供新的思路。</w:t>
            </w:r>
          </w:p>
          <w:p w14:paraId="7B1F9AB8" w14:textId="77777777" w:rsidR="00963EF8" w:rsidRPr="005A787A" w:rsidRDefault="00963EF8" w:rsidP="005A787A">
            <w:pPr>
              <w:pStyle w:val="a8"/>
              <w:shd w:val="clear" w:color="auto" w:fill="FFFFFF"/>
              <w:spacing w:before="0" w:beforeAutospacing="0" w:after="0" w:afterAutospacing="0"/>
              <w:ind w:firstLineChars="200" w:firstLine="560"/>
              <w:rPr>
                <w:rFonts w:ascii="仿宋" w:eastAsia="仿宋" w:hAnsi="仿宋" w:cs="Helvetica"/>
                <w:color w:val="000000"/>
                <w:sz w:val="28"/>
                <w:szCs w:val="28"/>
              </w:rPr>
            </w:pPr>
            <w:r w:rsidRPr="005A787A">
              <w:rPr>
                <w:rFonts w:ascii="仿宋" w:eastAsia="仿宋" w:hAnsi="仿宋" w:cs="Helvetica"/>
                <w:color w:val="000000"/>
                <w:sz w:val="28"/>
                <w:szCs w:val="28"/>
              </w:rPr>
              <w:t xml:space="preserve">目前该项目技术已完成理论探究，申请人在取得患者同意后术后取小块活体癌组织进行了相关的免疫组化、免疫荧光、Western blot、 </w:t>
            </w:r>
            <w:proofErr w:type="spellStart"/>
            <w:r w:rsidRPr="005A787A">
              <w:rPr>
                <w:rFonts w:ascii="仿宋" w:eastAsia="仿宋" w:hAnsi="仿宋" w:cs="Helvetica"/>
                <w:color w:val="000000"/>
                <w:sz w:val="28"/>
                <w:szCs w:val="28"/>
              </w:rPr>
              <w:t>qRT</w:t>
            </w:r>
            <w:proofErr w:type="spellEnd"/>
            <w:r w:rsidRPr="005A787A">
              <w:rPr>
                <w:rFonts w:ascii="仿宋" w:eastAsia="仿宋" w:hAnsi="仿宋" w:cs="Helvetica"/>
                <w:color w:val="000000"/>
                <w:sz w:val="28"/>
                <w:szCs w:val="28"/>
              </w:rPr>
              <w:t>-PCR等研究。验证水通道蛋白的表达模式与前列腺癌患者PSA，TNM，Gleason评分的关系，并通过随访患者，统计OS，DFS，RFS，验证水通道蛋白的表达与前列腺癌预后的关系，为水通道蛋白作为前列腺癌治疗靶点及预后指标提供依据。</w:t>
            </w:r>
          </w:p>
          <w:p w14:paraId="067F7E28" w14:textId="77777777" w:rsidR="005A787A" w:rsidRPr="00470D43" w:rsidRDefault="00963EF8" w:rsidP="00470D43">
            <w:pPr>
              <w:pStyle w:val="a8"/>
              <w:shd w:val="clear" w:color="auto" w:fill="FFFFFF"/>
              <w:spacing w:before="0" w:beforeAutospacing="0" w:after="0" w:afterAutospacing="0"/>
              <w:rPr>
                <w:rFonts w:ascii="仿宋" w:eastAsia="仿宋" w:hAnsi="仿宋" w:cs="Helvetica" w:hint="eastAsia"/>
                <w:color w:val="000000"/>
                <w:sz w:val="28"/>
                <w:szCs w:val="28"/>
              </w:rPr>
            </w:pPr>
            <w:r w:rsidRPr="005A787A">
              <w:rPr>
                <w:rFonts w:ascii="Calibri" w:eastAsia="仿宋" w:hAnsi="Calibri" w:cs="Calibri"/>
                <w:color w:val="000000"/>
                <w:sz w:val="28"/>
                <w:szCs w:val="28"/>
              </w:rPr>
              <w:t> </w:t>
            </w:r>
            <w:r w:rsidRPr="005A787A">
              <w:rPr>
                <w:rFonts w:ascii="仿宋" w:eastAsia="仿宋" w:hAnsi="仿宋" w:cs="Helvetica"/>
                <w:color w:val="000000"/>
                <w:sz w:val="28"/>
                <w:szCs w:val="28"/>
              </w:rPr>
              <w:t xml:space="preserve"> </w:t>
            </w:r>
            <w:r w:rsidRPr="005A787A">
              <w:rPr>
                <w:rFonts w:ascii="Calibri" w:eastAsia="仿宋" w:hAnsi="Calibri" w:cs="Calibri"/>
                <w:color w:val="000000"/>
                <w:sz w:val="28"/>
                <w:szCs w:val="28"/>
              </w:rPr>
              <w:t xml:space="preserve">  </w:t>
            </w:r>
            <w:r w:rsidRPr="005A787A">
              <w:rPr>
                <w:rFonts w:ascii="仿宋" w:eastAsia="仿宋" w:hAnsi="仿宋" w:cs="Helvetica"/>
                <w:color w:val="000000"/>
                <w:sz w:val="28"/>
                <w:szCs w:val="28"/>
              </w:rPr>
              <w:t>综上，AQP3和AQP9在前列腺癌与正常前列腺组织之间存在分布及表达差异。本项目中申请人首次发现了AQP3的亚细胞定位变化及AQP9在前列腺癌中的作用机制，并且在临床上也进行了相关应用，但目前</w:t>
            </w:r>
            <w:r w:rsidRPr="005A787A">
              <w:rPr>
                <w:rFonts w:ascii="仿宋" w:eastAsia="仿宋" w:hAnsi="仿宋" w:cs="Helvetica"/>
                <w:color w:val="000000"/>
                <w:sz w:val="28"/>
                <w:szCs w:val="28"/>
              </w:rPr>
              <w:lastRenderedPageBreak/>
              <w:t>前列腺癌治疗方法和效果上仍存在明显不足，因此针对于水通道蛋白在前列腺癌中发生发展的机制仍需进一步进行研究，为晚期前列腺癌的治疗带来新的希望。</w:t>
            </w:r>
          </w:p>
        </w:tc>
      </w:tr>
      <w:tr w:rsidR="005A787A" w:rsidRPr="005A787A" w14:paraId="032A9CF7" w14:textId="77777777" w:rsidTr="005A787A">
        <w:tc>
          <w:tcPr>
            <w:tcW w:w="8613" w:type="dxa"/>
            <w:gridSpan w:val="2"/>
            <w:shd w:val="clear" w:color="auto" w:fill="auto"/>
          </w:tcPr>
          <w:p w14:paraId="73D6B139" w14:textId="77777777" w:rsidR="005A787A" w:rsidRPr="005A787A" w:rsidRDefault="005A787A" w:rsidP="005A787A">
            <w:pPr>
              <w:adjustRightInd w:val="0"/>
              <w:snapToGrid w:val="0"/>
              <w:spacing w:line="500" w:lineRule="exact"/>
              <w:rPr>
                <w:rFonts w:ascii="仿宋" w:eastAsia="仿宋" w:hAnsi="仿宋"/>
                <w:b/>
                <w:color w:val="000000"/>
                <w:kern w:val="0"/>
                <w:sz w:val="28"/>
                <w:szCs w:val="28"/>
              </w:rPr>
            </w:pPr>
            <w:r w:rsidRPr="005A787A">
              <w:rPr>
                <w:rFonts w:ascii="仿宋" w:eastAsia="仿宋" w:hAnsi="仿宋" w:hint="eastAsia"/>
                <w:b/>
                <w:color w:val="000000"/>
                <w:kern w:val="0"/>
                <w:sz w:val="28"/>
                <w:szCs w:val="28"/>
              </w:rPr>
              <w:lastRenderedPageBreak/>
              <w:t>代表性论文（专著）列表：</w:t>
            </w:r>
          </w:p>
          <w:p w14:paraId="0E59CC13" w14:textId="77777777" w:rsidR="00E85C50" w:rsidRPr="005A787A" w:rsidRDefault="00E85C50" w:rsidP="00E85C50">
            <w:pPr>
              <w:pStyle w:val="EndNoteBibliography"/>
              <w:rPr>
                <w:sz w:val="28"/>
                <w:szCs w:val="28"/>
              </w:rPr>
            </w:pPr>
            <w:r w:rsidRPr="005A787A">
              <w:rPr>
                <w:sz w:val="28"/>
                <w:szCs w:val="28"/>
              </w:rPr>
              <w:t>1.</w:t>
            </w:r>
            <w:r w:rsidRPr="005A787A">
              <w:rPr>
                <w:sz w:val="28"/>
                <w:szCs w:val="28"/>
              </w:rPr>
              <w:tab/>
              <w:t>Chen, Q.; Zhu, L.; Zheng, B.; Wang, J.; Song, X.; Zheng, W.; Wang, L.;Yang,</w:t>
            </w:r>
            <w:r w:rsidR="009F32EE" w:rsidRPr="005A787A">
              <w:rPr>
                <w:sz w:val="28"/>
                <w:szCs w:val="28"/>
              </w:rPr>
              <w:t xml:space="preserve"> </w:t>
            </w:r>
            <w:r w:rsidRPr="005A787A">
              <w:rPr>
                <w:sz w:val="28"/>
                <w:szCs w:val="28"/>
              </w:rPr>
              <w:t xml:space="preserve">D.; Wang, J. Effect of AQP9 Expression in Androgen-Independent </w:t>
            </w:r>
            <w:r w:rsidR="009F32EE" w:rsidRPr="005A787A">
              <w:rPr>
                <w:sz w:val="28"/>
                <w:szCs w:val="28"/>
              </w:rPr>
              <w:t xml:space="preserve"> </w:t>
            </w:r>
            <w:r w:rsidRPr="005A787A">
              <w:rPr>
                <w:sz w:val="28"/>
                <w:szCs w:val="28"/>
              </w:rPr>
              <w:t xml:space="preserve">Prostate Cancer Cell PC3. </w:t>
            </w:r>
            <w:r w:rsidRPr="005A787A">
              <w:rPr>
                <w:i/>
                <w:sz w:val="28"/>
                <w:szCs w:val="28"/>
              </w:rPr>
              <w:t>Int J Mol Sci</w:t>
            </w:r>
            <w:r w:rsidRPr="005A787A">
              <w:rPr>
                <w:sz w:val="28"/>
                <w:szCs w:val="28"/>
              </w:rPr>
              <w:t xml:space="preserve"> </w:t>
            </w:r>
            <w:r w:rsidRPr="005A787A">
              <w:rPr>
                <w:b/>
                <w:sz w:val="28"/>
                <w:szCs w:val="28"/>
              </w:rPr>
              <w:t>2016</w:t>
            </w:r>
            <w:r w:rsidRPr="005A787A">
              <w:rPr>
                <w:sz w:val="28"/>
                <w:szCs w:val="28"/>
              </w:rPr>
              <w:t xml:space="preserve">, </w:t>
            </w:r>
            <w:r w:rsidRPr="005A787A">
              <w:rPr>
                <w:i/>
                <w:sz w:val="28"/>
                <w:szCs w:val="28"/>
              </w:rPr>
              <w:t>17</w:t>
            </w:r>
            <w:r w:rsidRPr="005A787A">
              <w:rPr>
                <w:sz w:val="28"/>
                <w:szCs w:val="28"/>
              </w:rPr>
              <w:t>.</w:t>
            </w:r>
          </w:p>
          <w:p w14:paraId="25F6ABD4" w14:textId="77777777" w:rsidR="005A787A" w:rsidRPr="005A787A" w:rsidRDefault="00E85C50" w:rsidP="00E85C50">
            <w:pPr>
              <w:pStyle w:val="EndNoteBibliography"/>
              <w:rPr>
                <w:rFonts w:hint="eastAsia"/>
                <w:sz w:val="24"/>
                <w:szCs w:val="24"/>
              </w:rPr>
            </w:pPr>
            <w:r w:rsidRPr="005A787A">
              <w:rPr>
                <w:sz w:val="28"/>
                <w:szCs w:val="28"/>
              </w:rPr>
              <w:t>2.</w:t>
            </w:r>
            <w:r w:rsidRPr="005A787A">
              <w:rPr>
                <w:sz w:val="28"/>
                <w:szCs w:val="28"/>
              </w:rPr>
              <w:tab/>
              <w:t xml:space="preserve">Chen, Q.; Zhu, L.; Zong, H.; Song, X.; Wang, L.; Wang, X.; Yang, D.; Wang, J. Subcellular localization of aquaporin 3 in prostate cancer is regulated by RalA. </w:t>
            </w:r>
            <w:r w:rsidRPr="005A787A">
              <w:rPr>
                <w:i/>
                <w:sz w:val="28"/>
                <w:szCs w:val="28"/>
              </w:rPr>
              <w:t>Oncol Rep</w:t>
            </w:r>
            <w:r w:rsidRPr="005A787A">
              <w:rPr>
                <w:sz w:val="28"/>
                <w:szCs w:val="28"/>
              </w:rPr>
              <w:t xml:space="preserve"> </w:t>
            </w:r>
            <w:r w:rsidRPr="005A787A">
              <w:rPr>
                <w:b/>
                <w:sz w:val="28"/>
                <w:szCs w:val="28"/>
              </w:rPr>
              <w:t>2018</w:t>
            </w:r>
            <w:r w:rsidRPr="005A787A">
              <w:rPr>
                <w:sz w:val="28"/>
                <w:szCs w:val="28"/>
              </w:rPr>
              <w:t xml:space="preserve">, </w:t>
            </w:r>
            <w:r w:rsidRPr="005A787A">
              <w:rPr>
                <w:i/>
                <w:sz w:val="28"/>
                <w:szCs w:val="28"/>
              </w:rPr>
              <w:t>39</w:t>
            </w:r>
            <w:r w:rsidRPr="005A787A">
              <w:rPr>
                <w:sz w:val="28"/>
                <w:szCs w:val="28"/>
              </w:rPr>
              <w:t>, 2171-2177.</w:t>
            </w:r>
          </w:p>
        </w:tc>
      </w:tr>
    </w:tbl>
    <w:p w14:paraId="14D46502" w14:textId="77777777" w:rsidR="005A787A" w:rsidRDefault="005A787A"/>
    <w:sectPr w:rsidR="005A787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B2"/>
    <w:rsid w:val="00063859"/>
    <w:rsid w:val="00105A10"/>
    <w:rsid w:val="00161EBA"/>
    <w:rsid w:val="00446EA2"/>
    <w:rsid w:val="00470D43"/>
    <w:rsid w:val="0053434E"/>
    <w:rsid w:val="005724FB"/>
    <w:rsid w:val="005A787A"/>
    <w:rsid w:val="006241B2"/>
    <w:rsid w:val="0071235A"/>
    <w:rsid w:val="008267DF"/>
    <w:rsid w:val="00921A55"/>
    <w:rsid w:val="00963EF8"/>
    <w:rsid w:val="00980475"/>
    <w:rsid w:val="009C5160"/>
    <w:rsid w:val="009E7585"/>
    <w:rsid w:val="009F32EE"/>
    <w:rsid w:val="00C04827"/>
    <w:rsid w:val="00C121AB"/>
    <w:rsid w:val="00D72244"/>
    <w:rsid w:val="00E3782B"/>
    <w:rsid w:val="00E85C50"/>
    <w:rsid w:val="00EC4B7B"/>
    <w:rsid w:val="1728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F996DD"/>
  <w15:chartTrackingRefBased/>
  <w15:docId w15:val="{6D9771EA-FC65-451D-BEFB-C6F9578B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Times New Roman" w:eastAsia="宋体" w:hAnsi="Times New Roman" w:cs="Times New Roman"/>
      <w:b/>
      <w:bCs/>
      <w:kern w:val="44"/>
      <w:sz w:val="44"/>
      <w:szCs w:val="44"/>
    </w:rPr>
  </w:style>
  <w:style w:type="paragraph" w:styleId="a3">
    <w:name w:val="footer"/>
    <w:basedOn w:val="a"/>
    <w:link w:val="a4"/>
    <w:uiPriority w:val="99"/>
    <w:unhideWhenUsed/>
    <w:pPr>
      <w:tabs>
        <w:tab w:val="center" w:pos="4153"/>
        <w:tab w:val="right" w:pos="8306"/>
      </w:tabs>
      <w:snapToGrid w:val="0"/>
      <w:jc w:val="left"/>
    </w:pPr>
    <w:rPr>
      <w:sz w:val="18"/>
      <w:szCs w:val="18"/>
    </w:rPr>
  </w:style>
  <w:style w:type="character" w:customStyle="1" w:styleId="a4">
    <w:name w:val="页脚 字符"/>
    <w:link w:val="a3"/>
    <w:uiPriority w:val="99"/>
    <w:rPr>
      <w:rFonts w:ascii="Times New Roman" w:eastAsia="宋体" w:hAnsi="Times New Roman" w:cs="Times New Roman"/>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Pr>
      <w:rFonts w:ascii="Times New Roman" w:eastAsia="宋体" w:hAnsi="Times New Roman" w:cs="Times New Roman"/>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标题1工作手册"/>
    <w:basedOn w:val="1"/>
    <w:link w:val="12"/>
    <w:qFormat/>
    <w:pPr>
      <w:keepNext w:val="0"/>
      <w:keepLines w:val="0"/>
      <w:tabs>
        <w:tab w:val="left" w:pos="3223"/>
      </w:tabs>
      <w:kinsoku w:val="0"/>
      <w:overflowPunct w:val="0"/>
      <w:autoSpaceDE w:val="0"/>
      <w:autoSpaceDN w:val="0"/>
      <w:adjustRightInd w:val="0"/>
      <w:snapToGrid w:val="0"/>
      <w:spacing w:before="0" w:after="0" w:line="240" w:lineRule="auto"/>
      <w:jc w:val="center"/>
    </w:pPr>
    <w:rPr>
      <w:rFonts w:ascii="华文中宋" w:hAnsi="华文中宋"/>
      <w:sz w:val="36"/>
      <w:szCs w:val="36"/>
    </w:rPr>
  </w:style>
  <w:style w:type="character" w:customStyle="1" w:styleId="12">
    <w:name w:val="标题1工作手册 字符"/>
    <w:link w:val="11"/>
    <w:rPr>
      <w:rFonts w:ascii="华文中宋" w:eastAsia="宋体" w:hAnsi="华文中宋" w:cs="Times New Roman"/>
      <w:b/>
      <w:bCs/>
      <w:kern w:val="44"/>
      <w:sz w:val="36"/>
      <w:szCs w:val="36"/>
    </w:rPr>
  </w:style>
  <w:style w:type="paragraph" w:styleId="a8">
    <w:name w:val="Normal (Web)"/>
    <w:basedOn w:val="a"/>
    <w:uiPriority w:val="99"/>
    <w:unhideWhenUsed/>
    <w:rsid w:val="00963EF8"/>
    <w:pPr>
      <w:widowControl/>
      <w:spacing w:before="100" w:beforeAutospacing="1" w:after="100" w:afterAutospacing="1"/>
      <w:jc w:val="left"/>
    </w:pPr>
    <w:rPr>
      <w:rFonts w:ascii="宋体" w:hAnsi="宋体" w:cs="宋体"/>
      <w:kern w:val="0"/>
      <w:sz w:val="24"/>
      <w:szCs w:val="24"/>
    </w:rPr>
  </w:style>
  <w:style w:type="paragraph" w:customStyle="1" w:styleId="EndNoteBibliography">
    <w:name w:val="EndNote Bibliography"/>
    <w:basedOn w:val="a"/>
    <w:link w:val="EndNoteBibliography0"/>
    <w:rsid w:val="00E85C50"/>
    <w:rPr>
      <w:noProof/>
      <w:sz w:val="20"/>
    </w:rPr>
  </w:style>
  <w:style w:type="character" w:customStyle="1" w:styleId="EndNoteBibliography0">
    <w:name w:val="EndNote Bibliography 字符"/>
    <w:link w:val="EndNoteBibliography"/>
    <w:rsid w:val="00E85C50"/>
    <w:rPr>
      <w:rFonts w:ascii="Times New Roman" w:hAnsi="Times New Roman"/>
      <w:noProo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121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1517</Characters>
  <Application>Microsoft Office Word</Application>
  <DocSecurity>0</DocSecurity>
  <Lines>12</Lines>
  <Paragraphs>3</Paragraphs>
  <ScaleCrop>false</ScaleCrop>
  <Company>微软中国</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cp:lastModifiedBy>ll ll</cp:lastModifiedBy>
  <cp:revision>2</cp:revision>
  <dcterms:created xsi:type="dcterms:W3CDTF">2022-04-12T02:45:00Z</dcterms:created>
  <dcterms:modified xsi:type="dcterms:W3CDTF">2022-04-12T02:45:00Z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7DDBB44A41E94B17A3686E5A1464383F</vt:lpwstr>
  </property>
</Properties>
</file>